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impleTable3"/>
        <w:tblW w:w="0" w:type="auto"/>
        <w:tblBorders>
          <w:top w:val="dotted" w:sz="4" w:space="0" w:color="auto"/>
          <w:bottom w:val="dotted" w:sz="4" w:space="0" w:color="auto"/>
        </w:tblBorders>
        <w:tblCellMar>
          <w:top w:w="57" w:type="dxa"/>
          <w:bottom w:w="57" w:type="dxa"/>
        </w:tblCellMar>
        <w:tblLook w:val="04A0" w:firstRow="1" w:lastRow="0" w:firstColumn="1" w:lastColumn="0" w:noHBand="0" w:noVBand="1"/>
      </w:tblPr>
      <w:tblGrid>
        <w:gridCol w:w="7440"/>
        <w:gridCol w:w="2060"/>
      </w:tblGrid>
      <w:tr w:rsidR="00AF1D72" w:rsidRPr="00B14381" w14:paraId="409B9E7B" w14:textId="77777777" w:rsidTr="00197FB2">
        <w:trPr>
          <w:cnfStyle w:val="100000000000" w:firstRow="1" w:lastRow="0" w:firstColumn="0" w:lastColumn="0" w:oddVBand="0" w:evenVBand="0" w:oddHBand="0" w:evenHBand="0" w:firstRowFirstColumn="0" w:firstRowLastColumn="0" w:lastRowFirstColumn="0" w:lastRowLastColumn="0"/>
        </w:trPr>
        <w:tc>
          <w:tcPr>
            <w:tcW w:w="7440" w:type="dxa"/>
            <w:shd w:val="clear" w:color="auto" w:fill="auto"/>
            <w:vAlign w:val="center"/>
          </w:tcPr>
          <w:p w14:paraId="40B3F116" w14:textId="1F8F72B8" w:rsidR="00AF1D72" w:rsidRPr="00197FB2" w:rsidRDefault="00AF1D72" w:rsidP="00197FB2">
            <w:pPr>
              <w:tabs>
                <w:tab w:val="center" w:pos="4513"/>
                <w:tab w:val="right" w:pos="9026"/>
              </w:tabs>
              <w:rPr>
                <w:rFonts w:ascii="Arial" w:eastAsia="SimSun" w:hAnsi="Arial" w:cs="Arial"/>
                <w:color w:val="004259"/>
                <w:sz w:val="28"/>
                <w:szCs w:val="28"/>
              </w:rPr>
            </w:pPr>
            <w:bookmarkStart w:id="0" w:name="_Toc886731"/>
            <w:r w:rsidRPr="006B49B7">
              <w:rPr>
                <w:rFonts w:ascii="Arial" w:eastAsia="SimSun" w:hAnsi="Arial" w:cs="Arial"/>
                <w:color w:val="004259"/>
                <w:sz w:val="28"/>
                <w:szCs w:val="28"/>
              </w:rPr>
              <w:t xml:space="preserve">AUSTROADS </w:t>
            </w:r>
            <w:r w:rsidRPr="003B7DCB">
              <w:rPr>
                <w:rFonts w:ascii="Arial" w:eastAsia="SimSun" w:hAnsi="Arial" w:cs="Arial"/>
                <w:color w:val="004259"/>
                <w:sz w:val="28"/>
                <w:szCs w:val="28"/>
              </w:rPr>
              <w:t>TECHNICA</w:t>
            </w:r>
            <w:r w:rsidRPr="006B49B7">
              <w:rPr>
                <w:rFonts w:ascii="Arial" w:eastAsia="SimSun" w:hAnsi="Arial" w:cs="Arial"/>
                <w:color w:val="004259"/>
                <w:sz w:val="28"/>
                <w:szCs w:val="28"/>
              </w:rPr>
              <w:t>L SPECIFICATION ATS</w:t>
            </w:r>
            <w:r w:rsidR="00DF5A71">
              <w:rPr>
                <w:rFonts w:ascii="Arial" w:eastAsia="SimSun" w:hAnsi="Arial" w:cs="Arial"/>
                <w:color w:val="004259"/>
                <w:sz w:val="28"/>
                <w:szCs w:val="28"/>
              </w:rPr>
              <w:t>223</w:t>
            </w:r>
            <w:r w:rsidR="003B7DCB">
              <w:rPr>
                <w:rFonts w:ascii="Arial" w:eastAsia="SimSun" w:hAnsi="Arial" w:cs="Arial"/>
                <w:color w:val="004259"/>
                <w:sz w:val="28"/>
                <w:szCs w:val="28"/>
              </w:rPr>
              <w:t>0</w:t>
            </w:r>
            <w:r w:rsidRPr="006B49B7">
              <w:rPr>
                <w:rFonts w:ascii="Arial" w:eastAsia="SimSun" w:hAnsi="Arial" w:cs="Arial"/>
                <w:b w:val="0"/>
                <w:color w:val="004259"/>
                <w:sz w:val="20"/>
                <w:szCs w:val="20"/>
              </w:rPr>
              <w:tab/>
            </w:r>
          </w:p>
          <w:p w14:paraId="48C93D8E" w14:textId="294CA634" w:rsidR="00AF1D72" w:rsidRPr="003B7DCB" w:rsidRDefault="00DF5A71" w:rsidP="00197FB2">
            <w:pPr>
              <w:tabs>
                <w:tab w:val="center" w:pos="4513"/>
                <w:tab w:val="right" w:pos="9026"/>
              </w:tabs>
              <w:rPr>
                <w:rFonts w:ascii="Arial" w:eastAsia="SimSun" w:hAnsi="Arial" w:cs="Arial"/>
                <w:b w:val="0"/>
                <w:bCs/>
                <w:color w:val="6F7C87"/>
                <w:sz w:val="32"/>
                <w:szCs w:val="32"/>
              </w:rPr>
            </w:pPr>
            <w:r w:rsidRPr="0043355C">
              <w:rPr>
                <w:rFonts w:ascii="Arial" w:hAnsi="Arial" w:cs="Arial"/>
                <w:b w:val="0"/>
                <w:bCs/>
                <w:color w:val="004259"/>
                <w:sz w:val="32"/>
                <w:szCs w:val="32"/>
              </w:rPr>
              <w:t>Supply of Small Box Culverts</w:t>
            </w:r>
          </w:p>
        </w:tc>
        <w:tc>
          <w:tcPr>
            <w:tcW w:w="2060" w:type="dxa"/>
            <w:shd w:val="clear" w:color="auto" w:fill="auto"/>
            <w:vAlign w:val="bottom"/>
          </w:tcPr>
          <w:p w14:paraId="6B4B3E22" w14:textId="5D8903C4" w:rsidR="00AF1D72" w:rsidRPr="00B14381" w:rsidRDefault="00AF1D72" w:rsidP="00AF1D72">
            <w:pPr>
              <w:tabs>
                <w:tab w:val="center" w:pos="4513"/>
                <w:tab w:val="right" w:pos="9026"/>
              </w:tabs>
              <w:jc w:val="right"/>
              <w:rPr>
                <w:rFonts w:ascii="Arial" w:eastAsia="SimSun" w:hAnsi="Arial" w:cs="Arial"/>
                <w:color w:val="B35E06"/>
                <w:sz w:val="16"/>
                <w:szCs w:val="16"/>
              </w:rPr>
            </w:pPr>
            <w:r>
              <w:rPr>
                <w:rFonts w:ascii="Arial" w:eastAsia="SimSun" w:hAnsi="Arial" w:cs="Arial"/>
                <w:noProof/>
                <w:color w:val="B35E06"/>
                <w:sz w:val="16"/>
                <w:szCs w:val="16"/>
              </w:rPr>
              <w:drawing>
                <wp:inline distT="0" distB="0" distL="0" distR="0" wp14:anchorId="6C626086" wp14:editId="3725C88B">
                  <wp:extent cx="1171127" cy="1034681"/>
                  <wp:effectExtent l="0" t="0" r="0" b="0"/>
                  <wp:docPr id="3" name="Picture 3"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troads-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884" cy="1051252"/>
                          </a:xfrm>
                          <a:prstGeom prst="rect">
                            <a:avLst/>
                          </a:prstGeom>
                        </pic:spPr>
                      </pic:pic>
                    </a:graphicData>
                  </a:graphic>
                </wp:inline>
              </w:drawing>
            </w:r>
          </w:p>
        </w:tc>
      </w:tr>
    </w:tbl>
    <w:tbl>
      <w:tblPr>
        <w:tblStyle w:val="TableGrid"/>
        <w:tblW w:w="0" w:type="auto"/>
        <w:tblLook w:val="04A0" w:firstRow="1" w:lastRow="0" w:firstColumn="1" w:lastColumn="0" w:noHBand="0" w:noVBand="1"/>
      </w:tblPr>
      <w:tblGrid>
        <w:gridCol w:w="9510"/>
      </w:tblGrid>
      <w:tr w:rsidR="00AF1D72" w14:paraId="77988DC1" w14:textId="77777777" w:rsidTr="00AA0305">
        <w:trPr>
          <w:trHeight w:val="3941"/>
        </w:trPr>
        <w:tc>
          <w:tcPr>
            <w:tcW w:w="9510" w:type="dxa"/>
            <w:tcBorders>
              <w:top w:val="nil"/>
              <w:left w:val="nil"/>
              <w:bottom w:val="nil"/>
              <w:right w:val="nil"/>
            </w:tcBorders>
            <w:shd w:val="clear" w:color="auto" w:fill="F2F2F2" w:themeFill="background1" w:themeFillShade="F2"/>
          </w:tcPr>
          <w:bookmarkStart w:id="1" w:name="1.1_Scope" w:displacedByCustomXml="next"/>
          <w:bookmarkEnd w:id="1" w:displacedByCustomXml="next"/>
          <w:sdt>
            <w:sdtPr>
              <w:rPr>
                <w:rFonts w:ascii="Times New Roman" w:hAnsi="Times New Roman" w:cs="Times New Roman"/>
                <w:b w:val="0"/>
                <w:bCs w:val="0"/>
                <w:color w:val="auto"/>
                <w:sz w:val="22"/>
                <w:szCs w:val="22"/>
              </w:rPr>
              <w:id w:val="-889418727"/>
              <w:docPartObj>
                <w:docPartGallery w:val="Table of Contents"/>
                <w:docPartUnique/>
              </w:docPartObj>
            </w:sdtPr>
            <w:sdtEndPr>
              <w:rPr>
                <w:rFonts w:ascii="Arial" w:hAnsi="Arial"/>
                <w:b/>
                <w:sz w:val="18"/>
                <w:szCs w:val="18"/>
              </w:rPr>
            </w:sdtEndPr>
            <w:sdtContent>
              <w:p w14:paraId="59357140" w14:textId="77777777" w:rsidR="00AF1D72" w:rsidRPr="006B49B7" w:rsidRDefault="00AF1D72" w:rsidP="006B49B7">
                <w:pPr>
                  <w:pStyle w:val="Heading1nonumber"/>
                </w:pPr>
                <w:r w:rsidRPr="006B49B7">
                  <w:t>Contents</w:t>
                </w:r>
              </w:p>
              <w:p w14:paraId="2E87C49D" w14:textId="4EF7FA6A" w:rsidR="004A7A22" w:rsidRDefault="00B23DC4">
                <w:pPr>
                  <w:pStyle w:val="TOC1"/>
                  <w:rPr>
                    <w:rFonts w:asciiTheme="minorHAnsi" w:eastAsiaTheme="minorEastAsia" w:hAnsiTheme="minorHAnsi" w:cstheme="minorBidi"/>
                    <w:b w:val="0"/>
                    <w:noProof/>
                    <w:sz w:val="22"/>
                    <w:szCs w:val="22"/>
                    <w:lang w:eastAsia="en-AU"/>
                  </w:rPr>
                </w:pPr>
                <w:r w:rsidRPr="00E562B0">
                  <w:rPr>
                    <w:rFonts w:cs="Arial"/>
                    <w:b w:val="0"/>
                    <w:bCs/>
                  </w:rPr>
                  <w:fldChar w:fldCharType="begin"/>
                </w:r>
                <w:r w:rsidRPr="00E562B0">
                  <w:rPr>
                    <w:rFonts w:cs="Arial"/>
                    <w:b w:val="0"/>
                    <w:bCs/>
                  </w:rPr>
                  <w:instrText xml:space="preserve"> TOC \h \z \t "Heading 1,1,Heading 2,2,Annexure Heading,1" </w:instrText>
                </w:r>
                <w:r w:rsidRPr="00E562B0">
                  <w:rPr>
                    <w:rFonts w:cs="Arial"/>
                    <w:b w:val="0"/>
                    <w:bCs/>
                  </w:rPr>
                  <w:fldChar w:fldCharType="separate"/>
                </w:r>
                <w:hyperlink w:anchor="_Toc42767681" w:history="1">
                  <w:r w:rsidR="004A7A22" w:rsidRPr="00B17EB3">
                    <w:rPr>
                      <w:rStyle w:val="Hyperlink"/>
                      <w:rFonts w:eastAsia="SimSun"/>
                      <w:noProof/>
                      <w14:scene3d>
                        <w14:camera w14:prst="orthographicFront"/>
                        <w14:lightRig w14:rig="threePt" w14:dir="t">
                          <w14:rot w14:lat="0" w14:lon="0" w14:rev="0"/>
                        </w14:lightRig>
                      </w14:scene3d>
                    </w:rPr>
                    <w:t>1.</w:t>
                  </w:r>
                  <w:r w:rsidR="004A7A22">
                    <w:rPr>
                      <w:rFonts w:asciiTheme="minorHAnsi" w:eastAsiaTheme="minorEastAsia" w:hAnsiTheme="minorHAnsi" w:cstheme="minorBidi"/>
                      <w:b w:val="0"/>
                      <w:noProof/>
                      <w:sz w:val="22"/>
                      <w:szCs w:val="22"/>
                      <w:lang w:eastAsia="en-AU"/>
                    </w:rPr>
                    <w:tab/>
                  </w:r>
                  <w:r w:rsidR="004A7A22" w:rsidRPr="00B17EB3">
                    <w:rPr>
                      <w:rStyle w:val="Hyperlink"/>
                      <w:rFonts w:eastAsia="SimSun"/>
                      <w:noProof/>
                    </w:rPr>
                    <w:t>Scope</w:t>
                  </w:r>
                  <w:r w:rsidR="004A7A22">
                    <w:rPr>
                      <w:noProof/>
                      <w:webHidden/>
                    </w:rPr>
                    <w:tab/>
                  </w:r>
                  <w:r w:rsidR="004A7A22">
                    <w:rPr>
                      <w:noProof/>
                      <w:webHidden/>
                    </w:rPr>
                    <w:fldChar w:fldCharType="begin"/>
                  </w:r>
                  <w:r w:rsidR="004A7A22">
                    <w:rPr>
                      <w:noProof/>
                      <w:webHidden/>
                    </w:rPr>
                    <w:instrText xml:space="preserve"> PAGEREF _Toc42767681 \h </w:instrText>
                  </w:r>
                  <w:r w:rsidR="004A7A22">
                    <w:rPr>
                      <w:noProof/>
                      <w:webHidden/>
                    </w:rPr>
                  </w:r>
                  <w:r w:rsidR="004A7A22">
                    <w:rPr>
                      <w:noProof/>
                      <w:webHidden/>
                    </w:rPr>
                    <w:fldChar w:fldCharType="separate"/>
                  </w:r>
                  <w:r w:rsidR="00D41EDE">
                    <w:rPr>
                      <w:noProof/>
                      <w:webHidden/>
                    </w:rPr>
                    <w:t>2</w:t>
                  </w:r>
                  <w:r w:rsidR="004A7A22">
                    <w:rPr>
                      <w:noProof/>
                      <w:webHidden/>
                    </w:rPr>
                    <w:fldChar w:fldCharType="end"/>
                  </w:r>
                </w:hyperlink>
              </w:p>
              <w:p w14:paraId="298E95ED" w14:textId="3C669A3B" w:rsidR="004A7A22" w:rsidRDefault="00CE3039">
                <w:pPr>
                  <w:pStyle w:val="TOC1"/>
                  <w:rPr>
                    <w:rFonts w:asciiTheme="minorHAnsi" w:eastAsiaTheme="minorEastAsia" w:hAnsiTheme="minorHAnsi" w:cstheme="minorBidi"/>
                    <w:b w:val="0"/>
                    <w:noProof/>
                    <w:sz w:val="22"/>
                    <w:szCs w:val="22"/>
                    <w:lang w:eastAsia="en-AU"/>
                  </w:rPr>
                </w:pPr>
                <w:hyperlink w:anchor="_Toc42767682" w:history="1">
                  <w:r w:rsidR="004A7A22" w:rsidRPr="00B17EB3">
                    <w:rPr>
                      <w:rStyle w:val="Hyperlink"/>
                      <w:rFonts w:eastAsiaTheme="majorEastAsia"/>
                      <w:noProof/>
                      <w14:scene3d>
                        <w14:camera w14:prst="orthographicFront"/>
                        <w14:lightRig w14:rig="threePt" w14:dir="t">
                          <w14:rot w14:lat="0" w14:lon="0" w14:rev="0"/>
                        </w14:lightRig>
                      </w14:scene3d>
                    </w:rPr>
                    <w:t>2.</w:t>
                  </w:r>
                  <w:r w:rsidR="004A7A22">
                    <w:rPr>
                      <w:rFonts w:asciiTheme="minorHAnsi" w:eastAsiaTheme="minorEastAsia" w:hAnsiTheme="minorHAnsi" w:cstheme="minorBidi"/>
                      <w:b w:val="0"/>
                      <w:noProof/>
                      <w:sz w:val="22"/>
                      <w:szCs w:val="22"/>
                      <w:lang w:eastAsia="en-AU"/>
                    </w:rPr>
                    <w:tab/>
                  </w:r>
                  <w:r w:rsidR="004A7A22" w:rsidRPr="00B17EB3">
                    <w:rPr>
                      <w:rStyle w:val="Hyperlink"/>
                      <w:rFonts w:eastAsia="SimSun"/>
                      <w:noProof/>
                    </w:rPr>
                    <w:t>Definitions</w:t>
                  </w:r>
                  <w:r w:rsidR="004A7A22">
                    <w:rPr>
                      <w:noProof/>
                      <w:webHidden/>
                    </w:rPr>
                    <w:tab/>
                  </w:r>
                  <w:r w:rsidR="004A7A22">
                    <w:rPr>
                      <w:noProof/>
                      <w:webHidden/>
                    </w:rPr>
                    <w:fldChar w:fldCharType="begin"/>
                  </w:r>
                  <w:r w:rsidR="004A7A22">
                    <w:rPr>
                      <w:noProof/>
                      <w:webHidden/>
                    </w:rPr>
                    <w:instrText xml:space="preserve"> PAGEREF _Toc42767682 \h </w:instrText>
                  </w:r>
                  <w:r w:rsidR="004A7A22">
                    <w:rPr>
                      <w:noProof/>
                      <w:webHidden/>
                    </w:rPr>
                  </w:r>
                  <w:r w:rsidR="004A7A22">
                    <w:rPr>
                      <w:noProof/>
                      <w:webHidden/>
                    </w:rPr>
                    <w:fldChar w:fldCharType="separate"/>
                  </w:r>
                  <w:r w:rsidR="00D41EDE">
                    <w:rPr>
                      <w:noProof/>
                      <w:webHidden/>
                    </w:rPr>
                    <w:t>2</w:t>
                  </w:r>
                  <w:r w:rsidR="004A7A22">
                    <w:rPr>
                      <w:noProof/>
                      <w:webHidden/>
                    </w:rPr>
                    <w:fldChar w:fldCharType="end"/>
                  </w:r>
                </w:hyperlink>
              </w:p>
              <w:p w14:paraId="5E1A653C" w14:textId="4A2EC546" w:rsidR="004A7A22" w:rsidRDefault="00CE3039">
                <w:pPr>
                  <w:pStyle w:val="TOC1"/>
                  <w:rPr>
                    <w:rFonts w:asciiTheme="minorHAnsi" w:eastAsiaTheme="minorEastAsia" w:hAnsiTheme="minorHAnsi" w:cstheme="minorBidi"/>
                    <w:b w:val="0"/>
                    <w:noProof/>
                    <w:sz w:val="22"/>
                    <w:szCs w:val="22"/>
                    <w:lang w:eastAsia="en-AU"/>
                  </w:rPr>
                </w:pPr>
                <w:hyperlink w:anchor="_Toc42767683" w:history="1">
                  <w:r w:rsidR="004A7A22" w:rsidRPr="00B17EB3">
                    <w:rPr>
                      <w:rStyle w:val="Hyperlink"/>
                      <w:rFonts w:eastAsia="SimSun"/>
                      <w:noProof/>
                      <w14:scene3d>
                        <w14:camera w14:prst="orthographicFront"/>
                        <w14:lightRig w14:rig="threePt" w14:dir="t">
                          <w14:rot w14:lat="0" w14:lon="0" w14:rev="0"/>
                        </w14:lightRig>
                      </w14:scene3d>
                    </w:rPr>
                    <w:t>3.</w:t>
                  </w:r>
                  <w:r w:rsidR="004A7A22">
                    <w:rPr>
                      <w:rFonts w:asciiTheme="minorHAnsi" w:eastAsiaTheme="minorEastAsia" w:hAnsiTheme="minorHAnsi" w:cstheme="minorBidi"/>
                      <w:b w:val="0"/>
                      <w:noProof/>
                      <w:sz w:val="22"/>
                      <w:szCs w:val="22"/>
                      <w:lang w:eastAsia="en-AU"/>
                    </w:rPr>
                    <w:tab/>
                  </w:r>
                  <w:r w:rsidR="004A7A22" w:rsidRPr="00B17EB3">
                    <w:rPr>
                      <w:rStyle w:val="Hyperlink"/>
                      <w:rFonts w:eastAsia="SimSun"/>
                      <w:noProof/>
                    </w:rPr>
                    <w:t>Referenced Documents</w:t>
                  </w:r>
                  <w:r w:rsidR="004A7A22">
                    <w:rPr>
                      <w:noProof/>
                      <w:webHidden/>
                    </w:rPr>
                    <w:tab/>
                  </w:r>
                  <w:r w:rsidR="004A7A22">
                    <w:rPr>
                      <w:noProof/>
                      <w:webHidden/>
                    </w:rPr>
                    <w:fldChar w:fldCharType="begin"/>
                  </w:r>
                  <w:r w:rsidR="004A7A22">
                    <w:rPr>
                      <w:noProof/>
                      <w:webHidden/>
                    </w:rPr>
                    <w:instrText xml:space="preserve"> PAGEREF _Toc42767683 \h </w:instrText>
                  </w:r>
                  <w:r w:rsidR="004A7A22">
                    <w:rPr>
                      <w:noProof/>
                      <w:webHidden/>
                    </w:rPr>
                  </w:r>
                  <w:r w:rsidR="004A7A22">
                    <w:rPr>
                      <w:noProof/>
                      <w:webHidden/>
                    </w:rPr>
                    <w:fldChar w:fldCharType="separate"/>
                  </w:r>
                  <w:r w:rsidR="00D41EDE">
                    <w:rPr>
                      <w:noProof/>
                      <w:webHidden/>
                    </w:rPr>
                    <w:t>3</w:t>
                  </w:r>
                  <w:r w:rsidR="004A7A22">
                    <w:rPr>
                      <w:noProof/>
                      <w:webHidden/>
                    </w:rPr>
                    <w:fldChar w:fldCharType="end"/>
                  </w:r>
                </w:hyperlink>
              </w:p>
              <w:p w14:paraId="35AA9B38" w14:textId="45C07942" w:rsidR="004A7A22" w:rsidRDefault="00CE3039">
                <w:pPr>
                  <w:pStyle w:val="TOC1"/>
                  <w:rPr>
                    <w:rFonts w:asciiTheme="minorHAnsi" w:eastAsiaTheme="minorEastAsia" w:hAnsiTheme="minorHAnsi" w:cstheme="minorBidi"/>
                    <w:b w:val="0"/>
                    <w:noProof/>
                    <w:sz w:val="22"/>
                    <w:szCs w:val="22"/>
                    <w:lang w:eastAsia="en-AU"/>
                  </w:rPr>
                </w:pPr>
                <w:hyperlink w:anchor="_Toc42767684" w:history="1">
                  <w:r w:rsidR="004A7A22" w:rsidRPr="00B17EB3">
                    <w:rPr>
                      <w:rStyle w:val="Hyperlink"/>
                      <w:rFonts w:eastAsia="SimSun"/>
                      <w:noProof/>
                      <w14:scene3d>
                        <w14:camera w14:prst="orthographicFront"/>
                        <w14:lightRig w14:rig="threePt" w14:dir="t">
                          <w14:rot w14:lat="0" w14:lon="0" w14:rev="0"/>
                        </w14:lightRig>
                      </w14:scene3d>
                    </w:rPr>
                    <w:t>4.</w:t>
                  </w:r>
                  <w:r w:rsidR="004A7A22">
                    <w:rPr>
                      <w:rFonts w:asciiTheme="minorHAnsi" w:eastAsiaTheme="minorEastAsia" w:hAnsiTheme="minorHAnsi" w:cstheme="minorBidi"/>
                      <w:b w:val="0"/>
                      <w:noProof/>
                      <w:sz w:val="22"/>
                      <w:szCs w:val="22"/>
                      <w:lang w:eastAsia="en-AU"/>
                    </w:rPr>
                    <w:tab/>
                  </w:r>
                  <w:r w:rsidR="004A7A22" w:rsidRPr="00B17EB3">
                    <w:rPr>
                      <w:rStyle w:val="Hyperlink"/>
                      <w:rFonts w:eastAsia="SimSun"/>
                      <w:noProof/>
                    </w:rPr>
                    <w:t>Quality System Requirements</w:t>
                  </w:r>
                  <w:r w:rsidR="004A7A22">
                    <w:rPr>
                      <w:noProof/>
                      <w:webHidden/>
                    </w:rPr>
                    <w:tab/>
                  </w:r>
                  <w:r w:rsidR="004A7A22">
                    <w:rPr>
                      <w:noProof/>
                      <w:webHidden/>
                    </w:rPr>
                    <w:fldChar w:fldCharType="begin"/>
                  </w:r>
                  <w:r w:rsidR="004A7A22">
                    <w:rPr>
                      <w:noProof/>
                      <w:webHidden/>
                    </w:rPr>
                    <w:instrText xml:space="preserve"> PAGEREF _Toc42767684 \h </w:instrText>
                  </w:r>
                  <w:r w:rsidR="004A7A22">
                    <w:rPr>
                      <w:noProof/>
                      <w:webHidden/>
                    </w:rPr>
                  </w:r>
                  <w:r w:rsidR="004A7A22">
                    <w:rPr>
                      <w:noProof/>
                      <w:webHidden/>
                    </w:rPr>
                    <w:fldChar w:fldCharType="separate"/>
                  </w:r>
                  <w:r w:rsidR="00D41EDE">
                    <w:rPr>
                      <w:noProof/>
                      <w:webHidden/>
                    </w:rPr>
                    <w:t>4</w:t>
                  </w:r>
                  <w:r w:rsidR="004A7A22">
                    <w:rPr>
                      <w:noProof/>
                      <w:webHidden/>
                    </w:rPr>
                    <w:fldChar w:fldCharType="end"/>
                  </w:r>
                </w:hyperlink>
              </w:p>
              <w:p w14:paraId="6D1186D0" w14:textId="08FA3C76" w:rsidR="004A7A22" w:rsidRDefault="00CE3039">
                <w:pPr>
                  <w:pStyle w:val="TOC1"/>
                  <w:rPr>
                    <w:rFonts w:asciiTheme="minorHAnsi" w:eastAsiaTheme="minorEastAsia" w:hAnsiTheme="minorHAnsi" w:cstheme="minorBidi"/>
                    <w:b w:val="0"/>
                    <w:noProof/>
                    <w:sz w:val="22"/>
                    <w:szCs w:val="22"/>
                    <w:lang w:eastAsia="en-AU"/>
                  </w:rPr>
                </w:pPr>
                <w:hyperlink w:anchor="_Toc42767685" w:history="1">
                  <w:r w:rsidR="004A7A22" w:rsidRPr="00B17EB3">
                    <w:rPr>
                      <w:rStyle w:val="Hyperlink"/>
                      <w:rFonts w:eastAsia="SimSun"/>
                      <w:noProof/>
                      <w14:scene3d>
                        <w14:camera w14:prst="orthographicFront"/>
                        <w14:lightRig w14:rig="threePt" w14:dir="t">
                          <w14:rot w14:lat="0" w14:lon="0" w14:rev="0"/>
                        </w14:lightRig>
                      </w14:scene3d>
                    </w:rPr>
                    <w:t>5.</w:t>
                  </w:r>
                  <w:r w:rsidR="004A7A22">
                    <w:rPr>
                      <w:rFonts w:asciiTheme="minorHAnsi" w:eastAsiaTheme="minorEastAsia" w:hAnsiTheme="minorHAnsi" w:cstheme="minorBidi"/>
                      <w:b w:val="0"/>
                      <w:noProof/>
                      <w:sz w:val="22"/>
                      <w:szCs w:val="22"/>
                      <w:lang w:eastAsia="en-AU"/>
                    </w:rPr>
                    <w:tab/>
                  </w:r>
                  <w:r w:rsidR="004A7A22" w:rsidRPr="00B17EB3">
                    <w:rPr>
                      <w:rStyle w:val="Hyperlink"/>
                      <w:rFonts w:eastAsia="SimSun"/>
                      <w:noProof/>
                    </w:rPr>
                    <w:t>General</w:t>
                  </w:r>
                  <w:r w:rsidR="004A7A22">
                    <w:rPr>
                      <w:noProof/>
                      <w:webHidden/>
                    </w:rPr>
                    <w:tab/>
                  </w:r>
                  <w:r w:rsidR="004A7A22">
                    <w:rPr>
                      <w:noProof/>
                      <w:webHidden/>
                    </w:rPr>
                    <w:fldChar w:fldCharType="begin"/>
                  </w:r>
                  <w:r w:rsidR="004A7A22">
                    <w:rPr>
                      <w:noProof/>
                      <w:webHidden/>
                    </w:rPr>
                    <w:instrText xml:space="preserve"> PAGEREF _Toc42767685 \h </w:instrText>
                  </w:r>
                  <w:r w:rsidR="004A7A22">
                    <w:rPr>
                      <w:noProof/>
                      <w:webHidden/>
                    </w:rPr>
                  </w:r>
                  <w:r w:rsidR="004A7A22">
                    <w:rPr>
                      <w:noProof/>
                      <w:webHidden/>
                    </w:rPr>
                    <w:fldChar w:fldCharType="separate"/>
                  </w:r>
                  <w:r w:rsidR="00D41EDE">
                    <w:rPr>
                      <w:noProof/>
                      <w:webHidden/>
                    </w:rPr>
                    <w:t>4</w:t>
                  </w:r>
                  <w:r w:rsidR="004A7A22">
                    <w:rPr>
                      <w:noProof/>
                      <w:webHidden/>
                    </w:rPr>
                    <w:fldChar w:fldCharType="end"/>
                  </w:r>
                </w:hyperlink>
              </w:p>
              <w:p w14:paraId="546DC0BD" w14:textId="63B9B95B" w:rsidR="004A7A22" w:rsidRDefault="00CE3039">
                <w:pPr>
                  <w:pStyle w:val="TOC1"/>
                  <w:rPr>
                    <w:rFonts w:asciiTheme="minorHAnsi" w:eastAsiaTheme="minorEastAsia" w:hAnsiTheme="minorHAnsi" w:cstheme="minorBidi"/>
                    <w:b w:val="0"/>
                    <w:noProof/>
                    <w:sz w:val="22"/>
                    <w:szCs w:val="22"/>
                    <w:lang w:eastAsia="en-AU"/>
                  </w:rPr>
                </w:pPr>
                <w:hyperlink w:anchor="_Toc42767686" w:history="1">
                  <w:r w:rsidR="004A7A22" w:rsidRPr="00B17EB3">
                    <w:rPr>
                      <w:rStyle w:val="Hyperlink"/>
                      <w:rFonts w:eastAsia="SimSun"/>
                      <w:noProof/>
                      <w14:scene3d>
                        <w14:camera w14:prst="orthographicFront"/>
                        <w14:lightRig w14:rig="threePt" w14:dir="t">
                          <w14:rot w14:lat="0" w14:lon="0" w14:rev="0"/>
                        </w14:lightRig>
                      </w14:scene3d>
                    </w:rPr>
                    <w:t>6.</w:t>
                  </w:r>
                  <w:r w:rsidR="004A7A22">
                    <w:rPr>
                      <w:rFonts w:asciiTheme="minorHAnsi" w:eastAsiaTheme="minorEastAsia" w:hAnsiTheme="minorHAnsi" w:cstheme="minorBidi"/>
                      <w:b w:val="0"/>
                      <w:noProof/>
                      <w:sz w:val="22"/>
                      <w:szCs w:val="22"/>
                      <w:lang w:eastAsia="en-AU"/>
                    </w:rPr>
                    <w:tab/>
                  </w:r>
                  <w:r w:rsidR="004A7A22" w:rsidRPr="00B17EB3">
                    <w:rPr>
                      <w:rStyle w:val="Hyperlink"/>
                      <w:rFonts w:eastAsia="SimSun"/>
                      <w:noProof/>
                    </w:rPr>
                    <w:t>Materials Manufacture and Dimensioning</w:t>
                  </w:r>
                  <w:r w:rsidR="004A7A22">
                    <w:rPr>
                      <w:noProof/>
                      <w:webHidden/>
                    </w:rPr>
                    <w:tab/>
                  </w:r>
                  <w:r w:rsidR="004A7A22">
                    <w:rPr>
                      <w:noProof/>
                      <w:webHidden/>
                    </w:rPr>
                    <w:fldChar w:fldCharType="begin"/>
                  </w:r>
                  <w:r w:rsidR="004A7A22">
                    <w:rPr>
                      <w:noProof/>
                      <w:webHidden/>
                    </w:rPr>
                    <w:instrText xml:space="preserve"> PAGEREF _Toc42767686 \h </w:instrText>
                  </w:r>
                  <w:r w:rsidR="004A7A22">
                    <w:rPr>
                      <w:noProof/>
                      <w:webHidden/>
                    </w:rPr>
                  </w:r>
                  <w:r w:rsidR="004A7A22">
                    <w:rPr>
                      <w:noProof/>
                      <w:webHidden/>
                    </w:rPr>
                    <w:fldChar w:fldCharType="separate"/>
                  </w:r>
                  <w:r w:rsidR="00D41EDE">
                    <w:rPr>
                      <w:noProof/>
                      <w:webHidden/>
                    </w:rPr>
                    <w:t>5</w:t>
                  </w:r>
                  <w:r w:rsidR="004A7A22">
                    <w:rPr>
                      <w:noProof/>
                      <w:webHidden/>
                    </w:rPr>
                    <w:fldChar w:fldCharType="end"/>
                  </w:r>
                </w:hyperlink>
              </w:p>
              <w:p w14:paraId="1187F126" w14:textId="3635C586" w:rsidR="004A7A22" w:rsidRDefault="00CE3039">
                <w:pPr>
                  <w:pStyle w:val="TOC2"/>
                  <w:rPr>
                    <w:rFonts w:asciiTheme="minorHAnsi" w:eastAsiaTheme="minorEastAsia" w:hAnsiTheme="minorHAnsi" w:cstheme="minorBidi"/>
                    <w:bCs w:val="0"/>
                    <w:noProof/>
                    <w:sz w:val="22"/>
                    <w:lang w:eastAsia="en-AU"/>
                  </w:rPr>
                </w:pPr>
                <w:hyperlink w:anchor="_Toc42767687" w:history="1">
                  <w:r w:rsidR="004A7A22" w:rsidRPr="00B17EB3">
                    <w:rPr>
                      <w:rStyle w:val="Hyperlink"/>
                      <w:rFonts w:eastAsia="SimSun"/>
                      <w:noProof/>
                    </w:rPr>
                    <w:t>Reinforcement</w:t>
                  </w:r>
                  <w:r w:rsidR="004A7A22">
                    <w:rPr>
                      <w:noProof/>
                      <w:webHidden/>
                    </w:rPr>
                    <w:tab/>
                  </w:r>
                  <w:r w:rsidR="004A7A22">
                    <w:rPr>
                      <w:noProof/>
                      <w:webHidden/>
                    </w:rPr>
                    <w:fldChar w:fldCharType="begin"/>
                  </w:r>
                  <w:r w:rsidR="004A7A22">
                    <w:rPr>
                      <w:noProof/>
                      <w:webHidden/>
                    </w:rPr>
                    <w:instrText xml:space="preserve"> PAGEREF _Toc42767687 \h </w:instrText>
                  </w:r>
                  <w:r w:rsidR="004A7A22">
                    <w:rPr>
                      <w:noProof/>
                      <w:webHidden/>
                    </w:rPr>
                  </w:r>
                  <w:r w:rsidR="004A7A22">
                    <w:rPr>
                      <w:noProof/>
                      <w:webHidden/>
                    </w:rPr>
                    <w:fldChar w:fldCharType="separate"/>
                  </w:r>
                  <w:r w:rsidR="00D41EDE">
                    <w:rPr>
                      <w:noProof/>
                      <w:webHidden/>
                    </w:rPr>
                    <w:t>5</w:t>
                  </w:r>
                  <w:r w:rsidR="004A7A22">
                    <w:rPr>
                      <w:noProof/>
                      <w:webHidden/>
                    </w:rPr>
                    <w:fldChar w:fldCharType="end"/>
                  </w:r>
                </w:hyperlink>
              </w:p>
              <w:p w14:paraId="273AF428" w14:textId="2E3CA450" w:rsidR="004A7A22" w:rsidRDefault="00CE3039">
                <w:pPr>
                  <w:pStyle w:val="TOC2"/>
                  <w:rPr>
                    <w:rFonts w:asciiTheme="minorHAnsi" w:eastAsiaTheme="minorEastAsia" w:hAnsiTheme="minorHAnsi" w:cstheme="minorBidi"/>
                    <w:bCs w:val="0"/>
                    <w:noProof/>
                    <w:sz w:val="22"/>
                    <w:lang w:eastAsia="en-AU"/>
                  </w:rPr>
                </w:pPr>
                <w:hyperlink w:anchor="_Toc42767688" w:history="1">
                  <w:r w:rsidR="004A7A22" w:rsidRPr="00B17EB3">
                    <w:rPr>
                      <w:rStyle w:val="Hyperlink"/>
                      <w:rFonts w:eastAsia="SimSun"/>
                      <w:noProof/>
                    </w:rPr>
                    <w:t>Cement and Supplementary Cementitious Materials</w:t>
                  </w:r>
                  <w:r w:rsidR="004A7A22">
                    <w:rPr>
                      <w:noProof/>
                      <w:webHidden/>
                    </w:rPr>
                    <w:tab/>
                  </w:r>
                  <w:r w:rsidR="004A7A22">
                    <w:rPr>
                      <w:noProof/>
                      <w:webHidden/>
                    </w:rPr>
                    <w:fldChar w:fldCharType="begin"/>
                  </w:r>
                  <w:r w:rsidR="004A7A22">
                    <w:rPr>
                      <w:noProof/>
                      <w:webHidden/>
                    </w:rPr>
                    <w:instrText xml:space="preserve"> PAGEREF _Toc42767688 \h </w:instrText>
                  </w:r>
                  <w:r w:rsidR="004A7A22">
                    <w:rPr>
                      <w:noProof/>
                      <w:webHidden/>
                    </w:rPr>
                  </w:r>
                  <w:r w:rsidR="004A7A22">
                    <w:rPr>
                      <w:noProof/>
                      <w:webHidden/>
                    </w:rPr>
                    <w:fldChar w:fldCharType="separate"/>
                  </w:r>
                  <w:r w:rsidR="00D41EDE">
                    <w:rPr>
                      <w:noProof/>
                      <w:webHidden/>
                    </w:rPr>
                    <w:t>5</w:t>
                  </w:r>
                  <w:r w:rsidR="004A7A22">
                    <w:rPr>
                      <w:noProof/>
                      <w:webHidden/>
                    </w:rPr>
                    <w:fldChar w:fldCharType="end"/>
                  </w:r>
                </w:hyperlink>
              </w:p>
              <w:p w14:paraId="1BB56299" w14:textId="3A2F9545" w:rsidR="004A7A22" w:rsidRDefault="00CE3039">
                <w:pPr>
                  <w:pStyle w:val="TOC2"/>
                  <w:rPr>
                    <w:rFonts w:asciiTheme="minorHAnsi" w:eastAsiaTheme="minorEastAsia" w:hAnsiTheme="minorHAnsi" w:cstheme="minorBidi"/>
                    <w:bCs w:val="0"/>
                    <w:noProof/>
                    <w:sz w:val="22"/>
                    <w:lang w:eastAsia="en-AU"/>
                  </w:rPr>
                </w:pPr>
                <w:hyperlink w:anchor="_Toc42767689" w:history="1">
                  <w:r w:rsidR="004A7A22" w:rsidRPr="00B17EB3">
                    <w:rPr>
                      <w:rStyle w:val="Hyperlink"/>
                      <w:rFonts w:eastAsia="SimSun"/>
                      <w:noProof/>
                    </w:rPr>
                    <w:t>Aggregates</w:t>
                  </w:r>
                  <w:r w:rsidR="004A7A22">
                    <w:rPr>
                      <w:noProof/>
                      <w:webHidden/>
                    </w:rPr>
                    <w:tab/>
                  </w:r>
                  <w:r w:rsidR="004A7A22">
                    <w:rPr>
                      <w:noProof/>
                      <w:webHidden/>
                    </w:rPr>
                    <w:fldChar w:fldCharType="begin"/>
                  </w:r>
                  <w:r w:rsidR="004A7A22">
                    <w:rPr>
                      <w:noProof/>
                      <w:webHidden/>
                    </w:rPr>
                    <w:instrText xml:space="preserve"> PAGEREF _Toc42767689 \h </w:instrText>
                  </w:r>
                  <w:r w:rsidR="004A7A22">
                    <w:rPr>
                      <w:noProof/>
                      <w:webHidden/>
                    </w:rPr>
                  </w:r>
                  <w:r w:rsidR="004A7A22">
                    <w:rPr>
                      <w:noProof/>
                      <w:webHidden/>
                    </w:rPr>
                    <w:fldChar w:fldCharType="separate"/>
                  </w:r>
                  <w:r w:rsidR="00D41EDE">
                    <w:rPr>
                      <w:noProof/>
                      <w:webHidden/>
                    </w:rPr>
                    <w:t>6</w:t>
                  </w:r>
                  <w:r w:rsidR="004A7A22">
                    <w:rPr>
                      <w:noProof/>
                      <w:webHidden/>
                    </w:rPr>
                    <w:fldChar w:fldCharType="end"/>
                  </w:r>
                </w:hyperlink>
              </w:p>
              <w:p w14:paraId="189446AD" w14:textId="60A1C54D" w:rsidR="004A7A22" w:rsidRDefault="00CE3039" w:rsidP="00D41EDE">
                <w:pPr>
                  <w:pStyle w:val="TOC2"/>
                  <w:rPr>
                    <w:rFonts w:asciiTheme="minorHAnsi" w:eastAsiaTheme="minorEastAsia" w:hAnsiTheme="minorHAnsi" w:cstheme="minorBidi"/>
                    <w:bCs w:val="0"/>
                    <w:noProof/>
                    <w:sz w:val="22"/>
                    <w:lang w:eastAsia="en-AU"/>
                  </w:rPr>
                </w:pPr>
                <w:hyperlink w:anchor="_Toc42767690" w:history="1">
                  <w:r w:rsidR="004A7A22" w:rsidRPr="00B17EB3">
                    <w:rPr>
                      <w:rStyle w:val="Hyperlink"/>
                      <w:rFonts w:eastAsia="SimSun"/>
                      <w:noProof/>
                    </w:rPr>
                    <w:t>Water</w:t>
                  </w:r>
                  <w:r w:rsidR="004A7A22">
                    <w:rPr>
                      <w:noProof/>
                      <w:webHidden/>
                    </w:rPr>
                    <w:tab/>
                  </w:r>
                  <w:r w:rsidR="0066351C" w:rsidRPr="0066351C">
                    <w:rPr>
                      <w:noProof/>
                      <w:webHidden/>
                    </w:rPr>
                    <w:tab/>
                  </w:r>
                  <w:r w:rsidR="004A7A22">
                    <w:rPr>
                      <w:noProof/>
                      <w:webHidden/>
                    </w:rPr>
                    <w:fldChar w:fldCharType="begin"/>
                  </w:r>
                  <w:r w:rsidR="004A7A22">
                    <w:rPr>
                      <w:noProof/>
                      <w:webHidden/>
                    </w:rPr>
                    <w:instrText xml:space="preserve"> PAGEREF _Toc42767690 \h </w:instrText>
                  </w:r>
                  <w:r w:rsidR="004A7A22">
                    <w:rPr>
                      <w:noProof/>
                      <w:webHidden/>
                    </w:rPr>
                  </w:r>
                  <w:r w:rsidR="004A7A22">
                    <w:rPr>
                      <w:noProof/>
                      <w:webHidden/>
                    </w:rPr>
                    <w:fldChar w:fldCharType="separate"/>
                  </w:r>
                  <w:r w:rsidR="00D41EDE">
                    <w:rPr>
                      <w:noProof/>
                      <w:webHidden/>
                    </w:rPr>
                    <w:t>6</w:t>
                  </w:r>
                  <w:r w:rsidR="004A7A22">
                    <w:rPr>
                      <w:noProof/>
                      <w:webHidden/>
                    </w:rPr>
                    <w:fldChar w:fldCharType="end"/>
                  </w:r>
                </w:hyperlink>
              </w:p>
              <w:p w14:paraId="0B680C14" w14:textId="17EA43D2" w:rsidR="004A7A22" w:rsidRDefault="00CE3039">
                <w:pPr>
                  <w:pStyle w:val="TOC2"/>
                  <w:rPr>
                    <w:rFonts w:asciiTheme="minorHAnsi" w:eastAsiaTheme="minorEastAsia" w:hAnsiTheme="minorHAnsi" w:cstheme="minorBidi"/>
                    <w:bCs w:val="0"/>
                    <w:noProof/>
                    <w:sz w:val="22"/>
                    <w:lang w:eastAsia="en-AU"/>
                  </w:rPr>
                </w:pPr>
                <w:hyperlink w:anchor="_Toc42767691" w:history="1">
                  <w:r w:rsidR="004A7A22" w:rsidRPr="00B17EB3">
                    <w:rPr>
                      <w:rStyle w:val="Hyperlink"/>
                      <w:rFonts w:eastAsia="SimSun"/>
                      <w:noProof/>
                    </w:rPr>
                    <w:t>Restriction on Chemical Content</w:t>
                  </w:r>
                  <w:r w:rsidR="004A7A22">
                    <w:rPr>
                      <w:noProof/>
                      <w:webHidden/>
                    </w:rPr>
                    <w:tab/>
                  </w:r>
                  <w:r w:rsidR="004A7A22">
                    <w:rPr>
                      <w:noProof/>
                      <w:webHidden/>
                    </w:rPr>
                    <w:fldChar w:fldCharType="begin"/>
                  </w:r>
                  <w:r w:rsidR="004A7A22">
                    <w:rPr>
                      <w:noProof/>
                      <w:webHidden/>
                    </w:rPr>
                    <w:instrText xml:space="preserve"> PAGEREF _Toc42767691 \h </w:instrText>
                  </w:r>
                  <w:r w:rsidR="004A7A22">
                    <w:rPr>
                      <w:noProof/>
                      <w:webHidden/>
                    </w:rPr>
                  </w:r>
                  <w:r w:rsidR="004A7A22">
                    <w:rPr>
                      <w:noProof/>
                      <w:webHidden/>
                    </w:rPr>
                    <w:fldChar w:fldCharType="separate"/>
                  </w:r>
                  <w:r w:rsidR="00D41EDE">
                    <w:rPr>
                      <w:noProof/>
                      <w:webHidden/>
                    </w:rPr>
                    <w:t>7</w:t>
                  </w:r>
                  <w:r w:rsidR="004A7A22">
                    <w:rPr>
                      <w:noProof/>
                      <w:webHidden/>
                    </w:rPr>
                    <w:fldChar w:fldCharType="end"/>
                  </w:r>
                </w:hyperlink>
              </w:p>
              <w:p w14:paraId="31A41BB5" w14:textId="65C3E23A" w:rsidR="004A7A22" w:rsidRDefault="00CE3039">
                <w:pPr>
                  <w:pStyle w:val="TOC2"/>
                  <w:rPr>
                    <w:rFonts w:asciiTheme="minorHAnsi" w:eastAsiaTheme="minorEastAsia" w:hAnsiTheme="minorHAnsi" w:cstheme="minorBidi"/>
                    <w:bCs w:val="0"/>
                    <w:noProof/>
                    <w:sz w:val="22"/>
                    <w:lang w:eastAsia="en-AU"/>
                  </w:rPr>
                </w:pPr>
                <w:hyperlink w:anchor="_Toc42767692" w:history="1">
                  <w:r w:rsidR="004A7A22" w:rsidRPr="00B17EB3">
                    <w:rPr>
                      <w:rStyle w:val="Hyperlink"/>
                      <w:rFonts w:eastAsia="SimSun"/>
                      <w:noProof/>
                    </w:rPr>
                    <w:t>Admixtures</w:t>
                  </w:r>
                  <w:r w:rsidR="004A7A22">
                    <w:rPr>
                      <w:noProof/>
                      <w:webHidden/>
                    </w:rPr>
                    <w:tab/>
                  </w:r>
                  <w:r w:rsidR="004A7A22">
                    <w:rPr>
                      <w:noProof/>
                      <w:webHidden/>
                    </w:rPr>
                    <w:fldChar w:fldCharType="begin"/>
                  </w:r>
                  <w:r w:rsidR="004A7A22">
                    <w:rPr>
                      <w:noProof/>
                      <w:webHidden/>
                    </w:rPr>
                    <w:instrText xml:space="preserve"> PAGEREF _Toc42767692 \h </w:instrText>
                  </w:r>
                  <w:r w:rsidR="004A7A22">
                    <w:rPr>
                      <w:noProof/>
                      <w:webHidden/>
                    </w:rPr>
                  </w:r>
                  <w:r w:rsidR="004A7A22">
                    <w:rPr>
                      <w:noProof/>
                      <w:webHidden/>
                    </w:rPr>
                    <w:fldChar w:fldCharType="separate"/>
                  </w:r>
                  <w:r w:rsidR="00D41EDE">
                    <w:rPr>
                      <w:noProof/>
                      <w:webHidden/>
                    </w:rPr>
                    <w:t>7</w:t>
                  </w:r>
                  <w:r w:rsidR="004A7A22">
                    <w:rPr>
                      <w:noProof/>
                      <w:webHidden/>
                    </w:rPr>
                    <w:fldChar w:fldCharType="end"/>
                  </w:r>
                </w:hyperlink>
              </w:p>
              <w:p w14:paraId="7FC7AA51" w14:textId="442F2B0A" w:rsidR="004A7A22" w:rsidRDefault="00CE3039">
                <w:pPr>
                  <w:pStyle w:val="TOC2"/>
                  <w:rPr>
                    <w:rFonts w:asciiTheme="minorHAnsi" w:eastAsiaTheme="minorEastAsia" w:hAnsiTheme="minorHAnsi" w:cstheme="minorBidi"/>
                    <w:bCs w:val="0"/>
                    <w:noProof/>
                    <w:sz w:val="22"/>
                    <w:lang w:eastAsia="en-AU"/>
                  </w:rPr>
                </w:pPr>
                <w:hyperlink w:anchor="_Toc42767693" w:history="1">
                  <w:r w:rsidR="004A7A22" w:rsidRPr="00B17EB3">
                    <w:rPr>
                      <w:rStyle w:val="Hyperlink"/>
                      <w:rFonts w:eastAsia="SimSun"/>
                      <w:noProof/>
                    </w:rPr>
                    <w:t>Concrete Specification and Cover to Reinforcement</w:t>
                  </w:r>
                  <w:r w:rsidR="004A7A22">
                    <w:rPr>
                      <w:noProof/>
                      <w:webHidden/>
                    </w:rPr>
                    <w:tab/>
                  </w:r>
                  <w:r w:rsidR="004A7A22">
                    <w:rPr>
                      <w:noProof/>
                      <w:webHidden/>
                    </w:rPr>
                    <w:fldChar w:fldCharType="begin"/>
                  </w:r>
                  <w:r w:rsidR="004A7A22">
                    <w:rPr>
                      <w:noProof/>
                      <w:webHidden/>
                    </w:rPr>
                    <w:instrText xml:space="preserve"> PAGEREF _Toc42767693 \h </w:instrText>
                  </w:r>
                  <w:r w:rsidR="004A7A22">
                    <w:rPr>
                      <w:noProof/>
                      <w:webHidden/>
                    </w:rPr>
                  </w:r>
                  <w:r w:rsidR="004A7A22">
                    <w:rPr>
                      <w:noProof/>
                      <w:webHidden/>
                    </w:rPr>
                    <w:fldChar w:fldCharType="separate"/>
                  </w:r>
                  <w:r w:rsidR="00D41EDE">
                    <w:rPr>
                      <w:noProof/>
                      <w:webHidden/>
                    </w:rPr>
                    <w:t>8</w:t>
                  </w:r>
                  <w:r w:rsidR="004A7A22">
                    <w:rPr>
                      <w:noProof/>
                      <w:webHidden/>
                    </w:rPr>
                    <w:fldChar w:fldCharType="end"/>
                  </w:r>
                </w:hyperlink>
              </w:p>
              <w:p w14:paraId="29DDF524" w14:textId="79C4AAEC" w:rsidR="004A7A22" w:rsidRDefault="00CE3039">
                <w:pPr>
                  <w:pStyle w:val="TOC2"/>
                  <w:rPr>
                    <w:rFonts w:asciiTheme="minorHAnsi" w:eastAsiaTheme="minorEastAsia" w:hAnsiTheme="minorHAnsi" w:cstheme="minorBidi"/>
                    <w:bCs w:val="0"/>
                    <w:noProof/>
                    <w:sz w:val="22"/>
                    <w:lang w:eastAsia="en-AU"/>
                  </w:rPr>
                </w:pPr>
                <w:hyperlink w:anchor="_Toc42767694" w:history="1">
                  <w:r w:rsidR="004A7A22" w:rsidRPr="00B17EB3">
                    <w:rPr>
                      <w:rStyle w:val="Hyperlink"/>
                      <w:rFonts w:eastAsia="SimSun"/>
                      <w:noProof/>
                    </w:rPr>
                    <w:t>Concrete Production, Placement and Curing</w:t>
                  </w:r>
                  <w:r w:rsidR="004A7A22">
                    <w:rPr>
                      <w:noProof/>
                      <w:webHidden/>
                    </w:rPr>
                    <w:tab/>
                  </w:r>
                  <w:r w:rsidR="004A7A22">
                    <w:rPr>
                      <w:noProof/>
                      <w:webHidden/>
                    </w:rPr>
                    <w:fldChar w:fldCharType="begin"/>
                  </w:r>
                  <w:r w:rsidR="004A7A22">
                    <w:rPr>
                      <w:noProof/>
                      <w:webHidden/>
                    </w:rPr>
                    <w:instrText xml:space="preserve"> PAGEREF _Toc42767694 \h </w:instrText>
                  </w:r>
                  <w:r w:rsidR="004A7A22">
                    <w:rPr>
                      <w:noProof/>
                      <w:webHidden/>
                    </w:rPr>
                  </w:r>
                  <w:r w:rsidR="004A7A22">
                    <w:rPr>
                      <w:noProof/>
                      <w:webHidden/>
                    </w:rPr>
                    <w:fldChar w:fldCharType="separate"/>
                  </w:r>
                  <w:r w:rsidR="00D41EDE">
                    <w:rPr>
                      <w:noProof/>
                      <w:webHidden/>
                    </w:rPr>
                    <w:t>9</w:t>
                  </w:r>
                  <w:r w:rsidR="004A7A22">
                    <w:rPr>
                      <w:noProof/>
                      <w:webHidden/>
                    </w:rPr>
                    <w:fldChar w:fldCharType="end"/>
                  </w:r>
                </w:hyperlink>
              </w:p>
              <w:p w14:paraId="4312288A" w14:textId="48F7AC82" w:rsidR="004A7A22" w:rsidRDefault="00CE3039">
                <w:pPr>
                  <w:pStyle w:val="TOC2"/>
                  <w:rPr>
                    <w:rFonts w:asciiTheme="minorHAnsi" w:eastAsiaTheme="minorEastAsia" w:hAnsiTheme="minorHAnsi" w:cstheme="minorBidi"/>
                    <w:bCs w:val="0"/>
                    <w:noProof/>
                    <w:sz w:val="22"/>
                    <w:lang w:eastAsia="en-AU"/>
                  </w:rPr>
                </w:pPr>
                <w:hyperlink w:anchor="_Toc42767695" w:history="1">
                  <w:r w:rsidR="004A7A22" w:rsidRPr="00B17EB3">
                    <w:rPr>
                      <w:rStyle w:val="Hyperlink"/>
                      <w:rFonts w:eastAsia="SimSun"/>
                      <w:noProof/>
                    </w:rPr>
                    <w:t>Curing</w:t>
                  </w:r>
                  <w:r w:rsidR="0066351C" w:rsidRPr="0066351C">
                    <w:rPr>
                      <w:rStyle w:val="Hyperlink"/>
                      <w:rFonts w:eastAsia="SimSun"/>
                      <w:noProof/>
                      <w:webHidden/>
                    </w:rPr>
                    <w:tab/>
                  </w:r>
                  <w:r w:rsidR="0066351C" w:rsidRPr="0066351C">
                    <w:rPr>
                      <w:rStyle w:val="Hyperlink"/>
                      <w:rFonts w:eastAsia="SimSun"/>
                      <w:noProof/>
                      <w:webHidden/>
                    </w:rPr>
                    <w:tab/>
                  </w:r>
                  <w:r w:rsidR="004A7A22">
                    <w:rPr>
                      <w:noProof/>
                      <w:webHidden/>
                    </w:rPr>
                    <w:fldChar w:fldCharType="begin"/>
                  </w:r>
                  <w:r w:rsidR="004A7A22">
                    <w:rPr>
                      <w:noProof/>
                      <w:webHidden/>
                    </w:rPr>
                    <w:instrText xml:space="preserve"> PAGEREF _Toc42767695 \h </w:instrText>
                  </w:r>
                  <w:r w:rsidR="004A7A22">
                    <w:rPr>
                      <w:noProof/>
                      <w:webHidden/>
                    </w:rPr>
                  </w:r>
                  <w:r w:rsidR="004A7A22">
                    <w:rPr>
                      <w:noProof/>
                      <w:webHidden/>
                    </w:rPr>
                    <w:fldChar w:fldCharType="separate"/>
                  </w:r>
                  <w:r w:rsidR="00D41EDE">
                    <w:rPr>
                      <w:noProof/>
                      <w:webHidden/>
                    </w:rPr>
                    <w:t>10</w:t>
                  </w:r>
                  <w:r w:rsidR="004A7A22">
                    <w:rPr>
                      <w:noProof/>
                      <w:webHidden/>
                    </w:rPr>
                    <w:fldChar w:fldCharType="end"/>
                  </w:r>
                </w:hyperlink>
              </w:p>
              <w:p w14:paraId="2AAA1465" w14:textId="33255033" w:rsidR="004A7A22" w:rsidRDefault="00CE3039">
                <w:pPr>
                  <w:pStyle w:val="TOC2"/>
                  <w:rPr>
                    <w:rFonts w:asciiTheme="minorHAnsi" w:eastAsiaTheme="minorEastAsia" w:hAnsiTheme="minorHAnsi" w:cstheme="minorBidi"/>
                    <w:bCs w:val="0"/>
                    <w:noProof/>
                    <w:sz w:val="22"/>
                    <w:lang w:eastAsia="en-AU"/>
                  </w:rPr>
                </w:pPr>
                <w:hyperlink w:anchor="_Toc42767696" w:history="1">
                  <w:r w:rsidR="004A7A22" w:rsidRPr="00B17EB3">
                    <w:rPr>
                      <w:rStyle w:val="Hyperlink"/>
                      <w:rFonts w:eastAsia="SimSun"/>
                      <w:noProof/>
                    </w:rPr>
                    <w:t>Internal Dimensions</w:t>
                  </w:r>
                  <w:r w:rsidR="004A7A22">
                    <w:rPr>
                      <w:noProof/>
                      <w:webHidden/>
                    </w:rPr>
                    <w:tab/>
                  </w:r>
                  <w:r w:rsidR="004A7A22">
                    <w:rPr>
                      <w:noProof/>
                      <w:webHidden/>
                    </w:rPr>
                    <w:fldChar w:fldCharType="begin"/>
                  </w:r>
                  <w:r w:rsidR="004A7A22">
                    <w:rPr>
                      <w:noProof/>
                      <w:webHidden/>
                    </w:rPr>
                    <w:instrText xml:space="preserve"> PAGEREF _Toc42767696 \h </w:instrText>
                  </w:r>
                  <w:r w:rsidR="004A7A22">
                    <w:rPr>
                      <w:noProof/>
                      <w:webHidden/>
                    </w:rPr>
                  </w:r>
                  <w:r w:rsidR="004A7A22">
                    <w:rPr>
                      <w:noProof/>
                      <w:webHidden/>
                    </w:rPr>
                    <w:fldChar w:fldCharType="separate"/>
                  </w:r>
                  <w:r w:rsidR="00D41EDE">
                    <w:rPr>
                      <w:noProof/>
                      <w:webHidden/>
                    </w:rPr>
                    <w:t>10</w:t>
                  </w:r>
                  <w:r w:rsidR="004A7A22">
                    <w:rPr>
                      <w:noProof/>
                      <w:webHidden/>
                    </w:rPr>
                    <w:fldChar w:fldCharType="end"/>
                  </w:r>
                </w:hyperlink>
              </w:p>
              <w:p w14:paraId="59DD2D7F" w14:textId="16512375" w:rsidR="004A7A22" w:rsidRDefault="00CE3039">
                <w:pPr>
                  <w:pStyle w:val="TOC2"/>
                  <w:rPr>
                    <w:rFonts w:asciiTheme="minorHAnsi" w:eastAsiaTheme="minorEastAsia" w:hAnsiTheme="minorHAnsi" w:cstheme="minorBidi"/>
                    <w:bCs w:val="0"/>
                    <w:noProof/>
                    <w:sz w:val="22"/>
                    <w:lang w:eastAsia="en-AU"/>
                  </w:rPr>
                </w:pPr>
                <w:hyperlink w:anchor="_Toc42767697" w:history="1">
                  <w:r w:rsidR="004A7A22" w:rsidRPr="00B17EB3">
                    <w:rPr>
                      <w:rStyle w:val="Hyperlink"/>
                      <w:rFonts w:eastAsia="SimSun"/>
                      <w:noProof/>
                    </w:rPr>
                    <w:t>Tolerances</w:t>
                  </w:r>
                  <w:r w:rsidR="004A7A22">
                    <w:rPr>
                      <w:noProof/>
                      <w:webHidden/>
                    </w:rPr>
                    <w:tab/>
                  </w:r>
                  <w:r w:rsidR="004A7A22">
                    <w:rPr>
                      <w:noProof/>
                      <w:webHidden/>
                    </w:rPr>
                    <w:fldChar w:fldCharType="begin"/>
                  </w:r>
                  <w:r w:rsidR="004A7A22">
                    <w:rPr>
                      <w:noProof/>
                      <w:webHidden/>
                    </w:rPr>
                    <w:instrText xml:space="preserve"> PAGEREF _Toc42767697 \h </w:instrText>
                  </w:r>
                  <w:r w:rsidR="004A7A22">
                    <w:rPr>
                      <w:noProof/>
                      <w:webHidden/>
                    </w:rPr>
                  </w:r>
                  <w:r w:rsidR="004A7A22">
                    <w:rPr>
                      <w:noProof/>
                      <w:webHidden/>
                    </w:rPr>
                    <w:fldChar w:fldCharType="separate"/>
                  </w:r>
                  <w:r w:rsidR="00D41EDE">
                    <w:rPr>
                      <w:noProof/>
                      <w:webHidden/>
                    </w:rPr>
                    <w:t>10</w:t>
                  </w:r>
                  <w:r w:rsidR="004A7A22">
                    <w:rPr>
                      <w:noProof/>
                      <w:webHidden/>
                    </w:rPr>
                    <w:fldChar w:fldCharType="end"/>
                  </w:r>
                </w:hyperlink>
              </w:p>
              <w:p w14:paraId="152753EE" w14:textId="61C521CD" w:rsidR="004A7A22" w:rsidRDefault="00CE3039">
                <w:pPr>
                  <w:pStyle w:val="TOC2"/>
                  <w:rPr>
                    <w:rFonts w:asciiTheme="minorHAnsi" w:eastAsiaTheme="minorEastAsia" w:hAnsiTheme="minorHAnsi" w:cstheme="minorBidi"/>
                    <w:bCs w:val="0"/>
                    <w:noProof/>
                    <w:sz w:val="22"/>
                    <w:lang w:eastAsia="en-AU"/>
                  </w:rPr>
                </w:pPr>
                <w:hyperlink w:anchor="_Toc42767698" w:history="1">
                  <w:r w:rsidR="004A7A22" w:rsidRPr="00B17EB3">
                    <w:rPr>
                      <w:rStyle w:val="Hyperlink"/>
                      <w:rFonts w:eastAsia="SimSun"/>
                      <w:noProof/>
                    </w:rPr>
                    <w:t>Storage and Handling (Refer AS 1597.1 Clause 2.11)</w:t>
                  </w:r>
                  <w:r w:rsidR="004A7A22">
                    <w:rPr>
                      <w:noProof/>
                      <w:webHidden/>
                    </w:rPr>
                    <w:tab/>
                  </w:r>
                  <w:r w:rsidR="004A7A22">
                    <w:rPr>
                      <w:noProof/>
                      <w:webHidden/>
                    </w:rPr>
                    <w:fldChar w:fldCharType="begin"/>
                  </w:r>
                  <w:r w:rsidR="004A7A22">
                    <w:rPr>
                      <w:noProof/>
                      <w:webHidden/>
                    </w:rPr>
                    <w:instrText xml:space="preserve"> PAGEREF _Toc42767698 \h </w:instrText>
                  </w:r>
                  <w:r w:rsidR="004A7A22">
                    <w:rPr>
                      <w:noProof/>
                      <w:webHidden/>
                    </w:rPr>
                  </w:r>
                  <w:r w:rsidR="004A7A22">
                    <w:rPr>
                      <w:noProof/>
                      <w:webHidden/>
                    </w:rPr>
                    <w:fldChar w:fldCharType="separate"/>
                  </w:r>
                  <w:r w:rsidR="00D41EDE">
                    <w:rPr>
                      <w:noProof/>
                      <w:webHidden/>
                    </w:rPr>
                    <w:t>11</w:t>
                  </w:r>
                  <w:r w:rsidR="004A7A22">
                    <w:rPr>
                      <w:noProof/>
                      <w:webHidden/>
                    </w:rPr>
                    <w:fldChar w:fldCharType="end"/>
                  </w:r>
                </w:hyperlink>
              </w:p>
              <w:p w14:paraId="20CB8F6E" w14:textId="0D010FF5" w:rsidR="004A7A22" w:rsidRDefault="00CE3039">
                <w:pPr>
                  <w:pStyle w:val="TOC2"/>
                  <w:rPr>
                    <w:rFonts w:asciiTheme="minorHAnsi" w:eastAsiaTheme="minorEastAsia" w:hAnsiTheme="minorHAnsi" w:cstheme="minorBidi"/>
                    <w:bCs w:val="0"/>
                    <w:noProof/>
                    <w:sz w:val="22"/>
                    <w:lang w:eastAsia="en-AU"/>
                  </w:rPr>
                </w:pPr>
                <w:hyperlink w:anchor="_Toc42767699" w:history="1">
                  <w:r w:rsidR="004A7A22" w:rsidRPr="00B17EB3">
                    <w:rPr>
                      <w:rStyle w:val="Hyperlink"/>
                      <w:rFonts w:eastAsia="SimSun"/>
                      <w:noProof/>
                    </w:rPr>
                    <w:t>Provision for Lifting</w:t>
                  </w:r>
                  <w:r w:rsidR="004A7A22">
                    <w:rPr>
                      <w:noProof/>
                      <w:webHidden/>
                    </w:rPr>
                    <w:tab/>
                  </w:r>
                  <w:r w:rsidR="004A7A22">
                    <w:rPr>
                      <w:noProof/>
                      <w:webHidden/>
                    </w:rPr>
                    <w:fldChar w:fldCharType="begin"/>
                  </w:r>
                  <w:r w:rsidR="004A7A22">
                    <w:rPr>
                      <w:noProof/>
                      <w:webHidden/>
                    </w:rPr>
                    <w:instrText xml:space="preserve"> PAGEREF _Toc42767699 \h </w:instrText>
                  </w:r>
                  <w:r w:rsidR="004A7A22">
                    <w:rPr>
                      <w:noProof/>
                      <w:webHidden/>
                    </w:rPr>
                  </w:r>
                  <w:r w:rsidR="004A7A22">
                    <w:rPr>
                      <w:noProof/>
                      <w:webHidden/>
                    </w:rPr>
                    <w:fldChar w:fldCharType="separate"/>
                  </w:r>
                  <w:r w:rsidR="00D41EDE">
                    <w:rPr>
                      <w:noProof/>
                      <w:webHidden/>
                    </w:rPr>
                    <w:t>11</w:t>
                  </w:r>
                  <w:r w:rsidR="004A7A22">
                    <w:rPr>
                      <w:noProof/>
                      <w:webHidden/>
                    </w:rPr>
                    <w:fldChar w:fldCharType="end"/>
                  </w:r>
                </w:hyperlink>
              </w:p>
              <w:p w14:paraId="3C4A2AC1" w14:textId="5BEEA6BB" w:rsidR="004A7A22" w:rsidRDefault="00CE3039">
                <w:pPr>
                  <w:pStyle w:val="TOC2"/>
                  <w:rPr>
                    <w:rFonts w:asciiTheme="minorHAnsi" w:eastAsiaTheme="minorEastAsia" w:hAnsiTheme="minorHAnsi" w:cstheme="minorBidi"/>
                    <w:bCs w:val="0"/>
                    <w:noProof/>
                    <w:sz w:val="22"/>
                    <w:lang w:eastAsia="en-AU"/>
                  </w:rPr>
                </w:pPr>
                <w:hyperlink w:anchor="_Toc42767700" w:history="1">
                  <w:r w:rsidR="004A7A22" w:rsidRPr="00B17EB3">
                    <w:rPr>
                      <w:rStyle w:val="Hyperlink"/>
                      <w:rFonts w:eastAsia="SimSun"/>
                      <w:noProof/>
                    </w:rPr>
                    <w:t>Workmanship and Finish</w:t>
                  </w:r>
                  <w:r w:rsidR="004A7A22">
                    <w:rPr>
                      <w:noProof/>
                      <w:webHidden/>
                    </w:rPr>
                    <w:tab/>
                  </w:r>
                  <w:r w:rsidR="004A7A22">
                    <w:rPr>
                      <w:noProof/>
                      <w:webHidden/>
                    </w:rPr>
                    <w:fldChar w:fldCharType="begin"/>
                  </w:r>
                  <w:r w:rsidR="004A7A22">
                    <w:rPr>
                      <w:noProof/>
                      <w:webHidden/>
                    </w:rPr>
                    <w:instrText xml:space="preserve"> PAGEREF _Toc42767700 \h </w:instrText>
                  </w:r>
                  <w:r w:rsidR="004A7A22">
                    <w:rPr>
                      <w:noProof/>
                      <w:webHidden/>
                    </w:rPr>
                  </w:r>
                  <w:r w:rsidR="004A7A22">
                    <w:rPr>
                      <w:noProof/>
                      <w:webHidden/>
                    </w:rPr>
                    <w:fldChar w:fldCharType="separate"/>
                  </w:r>
                  <w:r w:rsidR="00D41EDE">
                    <w:rPr>
                      <w:noProof/>
                      <w:webHidden/>
                    </w:rPr>
                    <w:t>12</w:t>
                  </w:r>
                  <w:r w:rsidR="004A7A22">
                    <w:rPr>
                      <w:noProof/>
                      <w:webHidden/>
                    </w:rPr>
                    <w:fldChar w:fldCharType="end"/>
                  </w:r>
                </w:hyperlink>
              </w:p>
              <w:p w14:paraId="04570602" w14:textId="78ADB06D" w:rsidR="004A7A22" w:rsidRDefault="00CE3039">
                <w:pPr>
                  <w:pStyle w:val="TOC2"/>
                  <w:rPr>
                    <w:rFonts w:asciiTheme="minorHAnsi" w:eastAsiaTheme="minorEastAsia" w:hAnsiTheme="minorHAnsi" w:cstheme="minorBidi"/>
                    <w:bCs w:val="0"/>
                    <w:noProof/>
                    <w:sz w:val="22"/>
                    <w:lang w:eastAsia="en-AU"/>
                  </w:rPr>
                </w:pPr>
                <w:hyperlink w:anchor="_Toc42767701" w:history="1">
                  <w:r w:rsidR="004A7A22" w:rsidRPr="00B17EB3">
                    <w:rPr>
                      <w:rStyle w:val="Hyperlink"/>
                      <w:rFonts w:eastAsia="SimSun"/>
                      <w:noProof/>
                    </w:rPr>
                    <w:t>Defects</w:t>
                  </w:r>
                  <w:r w:rsidR="004A7A22">
                    <w:rPr>
                      <w:noProof/>
                      <w:webHidden/>
                    </w:rPr>
                    <w:tab/>
                  </w:r>
                  <w:r w:rsidR="004A7A22">
                    <w:rPr>
                      <w:noProof/>
                      <w:webHidden/>
                    </w:rPr>
                    <w:fldChar w:fldCharType="begin"/>
                  </w:r>
                  <w:r w:rsidR="004A7A22">
                    <w:rPr>
                      <w:noProof/>
                      <w:webHidden/>
                    </w:rPr>
                    <w:instrText xml:space="preserve"> PAGEREF _Toc42767701 \h </w:instrText>
                  </w:r>
                  <w:r w:rsidR="004A7A22">
                    <w:rPr>
                      <w:noProof/>
                      <w:webHidden/>
                    </w:rPr>
                  </w:r>
                  <w:r w:rsidR="004A7A22">
                    <w:rPr>
                      <w:noProof/>
                      <w:webHidden/>
                    </w:rPr>
                    <w:fldChar w:fldCharType="separate"/>
                  </w:r>
                  <w:r w:rsidR="00D41EDE">
                    <w:rPr>
                      <w:noProof/>
                      <w:webHidden/>
                    </w:rPr>
                    <w:t>12</w:t>
                  </w:r>
                  <w:r w:rsidR="004A7A22">
                    <w:rPr>
                      <w:noProof/>
                      <w:webHidden/>
                    </w:rPr>
                    <w:fldChar w:fldCharType="end"/>
                  </w:r>
                </w:hyperlink>
              </w:p>
              <w:p w14:paraId="198E30AD" w14:textId="1397A34E" w:rsidR="004A7A22" w:rsidRDefault="00CE3039">
                <w:pPr>
                  <w:pStyle w:val="TOC2"/>
                  <w:rPr>
                    <w:rFonts w:asciiTheme="minorHAnsi" w:eastAsiaTheme="minorEastAsia" w:hAnsiTheme="minorHAnsi" w:cstheme="minorBidi"/>
                    <w:bCs w:val="0"/>
                    <w:noProof/>
                    <w:sz w:val="22"/>
                    <w:lang w:eastAsia="en-AU"/>
                  </w:rPr>
                </w:pPr>
                <w:hyperlink w:anchor="_Toc42767702" w:history="1">
                  <w:r w:rsidR="004A7A22" w:rsidRPr="00B17EB3">
                    <w:rPr>
                      <w:rStyle w:val="Hyperlink"/>
                      <w:rFonts w:eastAsia="SimSun"/>
                      <w:noProof/>
                    </w:rPr>
                    <w:t>Finishing and Repairs</w:t>
                  </w:r>
                  <w:r w:rsidR="004A7A22">
                    <w:rPr>
                      <w:noProof/>
                      <w:webHidden/>
                    </w:rPr>
                    <w:tab/>
                  </w:r>
                  <w:r w:rsidR="004A7A22">
                    <w:rPr>
                      <w:noProof/>
                      <w:webHidden/>
                    </w:rPr>
                    <w:fldChar w:fldCharType="begin"/>
                  </w:r>
                  <w:r w:rsidR="004A7A22">
                    <w:rPr>
                      <w:noProof/>
                      <w:webHidden/>
                    </w:rPr>
                    <w:instrText xml:space="preserve"> PAGEREF _Toc42767702 \h </w:instrText>
                  </w:r>
                  <w:r w:rsidR="004A7A22">
                    <w:rPr>
                      <w:noProof/>
                      <w:webHidden/>
                    </w:rPr>
                  </w:r>
                  <w:r w:rsidR="004A7A22">
                    <w:rPr>
                      <w:noProof/>
                      <w:webHidden/>
                    </w:rPr>
                    <w:fldChar w:fldCharType="separate"/>
                  </w:r>
                  <w:r w:rsidR="00D41EDE">
                    <w:rPr>
                      <w:noProof/>
                      <w:webHidden/>
                    </w:rPr>
                    <w:t>12</w:t>
                  </w:r>
                  <w:r w:rsidR="004A7A22">
                    <w:rPr>
                      <w:noProof/>
                      <w:webHidden/>
                    </w:rPr>
                    <w:fldChar w:fldCharType="end"/>
                  </w:r>
                </w:hyperlink>
              </w:p>
              <w:p w14:paraId="7EEE2E4B" w14:textId="1A878BDB" w:rsidR="004A7A22" w:rsidRDefault="00CE3039">
                <w:pPr>
                  <w:pStyle w:val="TOC2"/>
                  <w:rPr>
                    <w:rFonts w:asciiTheme="minorHAnsi" w:eastAsiaTheme="minorEastAsia" w:hAnsiTheme="minorHAnsi" w:cstheme="minorBidi"/>
                    <w:bCs w:val="0"/>
                    <w:noProof/>
                    <w:sz w:val="22"/>
                    <w:lang w:eastAsia="en-AU"/>
                  </w:rPr>
                </w:pPr>
                <w:hyperlink w:anchor="_Toc42767703" w:history="1">
                  <w:r w:rsidR="004A7A22" w:rsidRPr="00B17EB3">
                    <w:rPr>
                      <w:rStyle w:val="Hyperlink"/>
                      <w:rFonts w:eastAsia="SimSun"/>
                      <w:noProof/>
                    </w:rPr>
                    <w:t>Marking</w:t>
                  </w:r>
                  <w:r w:rsidR="004A7A22">
                    <w:rPr>
                      <w:noProof/>
                      <w:webHidden/>
                    </w:rPr>
                    <w:tab/>
                  </w:r>
                  <w:r w:rsidR="004A7A22">
                    <w:rPr>
                      <w:noProof/>
                      <w:webHidden/>
                    </w:rPr>
                    <w:fldChar w:fldCharType="begin"/>
                  </w:r>
                  <w:r w:rsidR="004A7A22">
                    <w:rPr>
                      <w:noProof/>
                      <w:webHidden/>
                    </w:rPr>
                    <w:instrText xml:space="preserve"> PAGEREF _Toc42767703 \h </w:instrText>
                  </w:r>
                  <w:r w:rsidR="004A7A22">
                    <w:rPr>
                      <w:noProof/>
                      <w:webHidden/>
                    </w:rPr>
                  </w:r>
                  <w:r w:rsidR="004A7A22">
                    <w:rPr>
                      <w:noProof/>
                      <w:webHidden/>
                    </w:rPr>
                    <w:fldChar w:fldCharType="separate"/>
                  </w:r>
                  <w:r w:rsidR="00D41EDE">
                    <w:rPr>
                      <w:noProof/>
                      <w:webHidden/>
                    </w:rPr>
                    <w:t>13</w:t>
                  </w:r>
                  <w:r w:rsidR="004A7A22">
                    <w:rPr>
                      <w:noProof/>
                      <w:webHidden/>
                    </w:rPr>
                    <w:fldChar w:fldCharType="end"/>
                  </w:r>
                </w:hyperlink>
              </w:p>
              <w:p w14:paraId="1272DE19" w14:textId="1E4A1831" w:rsidR="004A7A22" w:rsidRDefault="00CE3039">
                <w:pPr>
                  <w:pStyle w:val="TOC1"/>
                  <w:rPr>
                    <w:rFonts w:asciiTheme="minorHAnsi" w:eastAsiaTheme="minorEastAsia" w:hAnsiTheme="minorHAnsi" w:cstheme="minorBidi"/>
                    <w:b w:val="0"/>
                    <w:noProof/>
                    <w:sz w:val="22"/>
                    <w:szCs w:val="22"/>
                    <w:lang w:eastAsia="en-AU"/>
                  </w:rPr>
                </w:pPr>
                <w:hyperlink w:anchor="_Toc42767704" w:history="1">
                  <w:r w:rsidR="004A7A22" w:rsidRPr="00B17EB3">
                    <w:rPr>
                      <w:rStyle w:val="Hyperlink"/>
                      <w:rFonts w:eastAsia="SimSun"/>
                      <w:noProof/>
                      <w14:scene3d>
                        <w14:camera w14:prst="orthographicFront"/>
                        <w14:lightRig w14:rig="threePt" w14:dir="t">
                          <w14:rot w14:lat="0" w14:lon="0" w14:rev="0"/>
                        </w14:lightRig>
                      </w14:scene3d>
                    </w:rPr>
                    <w:t>7.</w:t>
                  </w:r>
                  <w:r w:rsidR="004A7A22">
                    <w:rPr>
                      <w:rFonts w:asciiTheme="minorHAnsi" w:eastAsiaTheme="minorEastAsia" w:hAnsiTheme="minorHAnsi" w:cstheme="minorBidi"/>
                      <w:b w:val="0"/>
                      <w:noProof/>
                      <w:sz w:val="22"/>
                      <w:szCs w:val="22"/>
                      <w:lang w:eastAsia="en-AU"/>
                    </w:rPr>
                    <w:tab/>
                  </w:r>
                  <w:r w:rsidR="004A7A22" w:rsidRPr="00B17EB3">
                    <w:rPr>
                      <w:rStyle w:val="Hyperlink"/>
                      <w:rFonts w:eastAsia="SimSun"/>
                      <w:noProof/>
                    </w:rPr>
                    <w:t>Sampling and Testing</w:t>
                  </w:r>
                  <w:r w:rsidR="004A7A22">
                    <w:rPr>
                      <w:noProof/>
                      <w:webHidden/>
                    </w:rPr>
                    <w:tab/>
                  </w:r>
                  <w:r w:rsidR="004A7A22">
                    <w:rPr>
                      <w:noProof/>
                      <w:webHidden/>
                    </w:rPr>
                    <w:fldChar w:fldCharType="begin"/>
                  </w:r>
                  <w:r w:rsidR="004A7A22">
                    <w:rPr>
                      <w:noProof/>
                      <w:webHidden/>
                    </w:rPr>
                    <w:instrText xml:space="preserve"> PAGEREF _Toc42767704 \h </w:instrText>
                  </w:r>
                  <w:r w:rsidR="004A7A22">
                    <w:rPr>
                      <w:noProof/>
                      <w:webHidden/>
                    </w:rPr>
                  </w:r>
                  <w:r w:rsidR="004A7A22">
                    <w:rPr>
                      <w:noProof/>
                      <w:webHidden/>
                    </w:rPr>
                    <w:fldChar w:fldCharType="separate"/>
                  </w:r>
                  <w:r w:rsidR="00D41EDE">
                    <w:rPr>
                      <w:noProof/>
                      <w:webHidden/>
                    </w:rPr>
                    <w:t>13</w:t>
                  </w:r>
                  <w:r w:rsidR="004A7A22">
                    <w:rPr>
                      <w:noProof/>
                      <w:webHidden/>
                    </w:rPr>
                    <w:fldChar w:fldCharType="end"/>
                  </w:r>
                </w:hyperlink>
              </w:p>
              <w:p w14:paraId="5BBF1975" w14:textId="2CAD7DC2" w:rsidR="004A7A22" w:rsidRDefault="00CE3039">
                <w:pPr>
                  <w:pStyle w:val="TOC2"/>
                  <w:rPr>
                    <w:rFonts w:asciiTheme="minorHAnsi" w:eastAsiaTheme="minorEastAsia" w:hAnsiTheme="minorHAnsi" w:cstheme="minorBidi"/>
                    <w:bCs w:val="0"/>
                    <w:noProof/>
                    <w:sz w:val="22"/>
                    <w:lang w:eastAsia="en-AU"/>
                  </w:rPr>
                </w:pPr>
                <w:hyperlink w:anchor="_Toc42767705" w:history="1">
                  <w:r w:rsidR="004A7A22" w:rsidRPr="00B17EB3">
                    <w:rPr>
                      <w:rStyle w:val="Hyperlink"/>
                      <w:rFonts w:eastAsia="SimSun"/>
                      <w:noProof/>
                    </w:rPr>
                    <w:t>General</w:t>
                  </w:r>
                  <w:r w:rsidR="004A7A22">
                    <w:rPr>
                      <w:noProof/>
                      <w:webHidden/>
                    </w:rPr>
                    <w:tab/>
                  </w:r>
                  <w:r w:rsidR="004A7A22">
                    <w:rPr>
                      <w:noProof/>
                      <w:webHidden/>
                    </w:rPr>
                    <w:fldChar w:fldCharType="begin"/>
                  </w:r>
                  <w:r w:rsidR="004A7A22">
                    <w:rPr>
                      <w:noProof/>
                      <w:webHidden/>
                    </w:rPr>
                    <w:instrText xml:space="preserve"> PAGEREF _Toc42767705 \h </w:instrText>
                  </w:r>
                  <w:r w:rsidR="004A7A22">
                    <w:rPr>
                      <w:noProof/>
                      <w:webHidden/>
                    </w:rPr>
                  </w:r>
                  <w:r w:rsidR="004A7A22">
                    <w:rPr>
                      <w:noProof/>
                      <w:webHidden/>
                    </w:rPr>
                    <w:fldChar w:fldCharType="separate"/>
                  </w:r>
                  <w:r w:rsidR="00D41EDE">
                    <w:rPr>
                      <w:noProof/>
                      <w:webHidden/>
                    </w:rPr>
                    <w:t>13</w:t>
                  </w:r>
                  <w:r w:rsidR="004A7A22">
                    <w:rPr>
                      <w:noProof/>
                      <w:webHidden/>
                    </w:rPr>
                    <w:fldChar w:fldCharType="end"/>
                  </w:r>
                </w:hyperlink>
              </w:p>
              <w:p w14:paraId="4D407612" w14:textId="22A5E10A" w:rsidR="004A7A22" w:rsidRDefault="00CE3039">
                <w:pPr>
                  <w:pStyle w:val="TOC2"/>
                  <w:rPr>
                    <w:rFonts w:asciiTheme="minorHAnsi" w:eastAsiaTheme="minorEastAsia" w:hAnsiTheme="minorHAnsi" w:cstheme="minorBidi"/>
                    <w:bCs w:val="0"/>
                    <w:noProof/>
                    <w:sz w:val="22"/>
                    <w:lang w:eastAsia="en-AU"/>
                  </w:rPr>
                </w:pPr>
                <w:hyperlink w:anchor="_Toc42767706" w:history="1">
                  <w:r w:rsidR="004A7A22" w:rsidRPr="00B17EB3">
                    <w:rPr>
                      <w:rStyle w:val="Hyperlink"/>
                      <w:rFonts w:eastAsia="SimSun"/>
                      <w:noProof/>
                    </w:rPr>
                    <w:t>Required Tests</w:t>
                  </w:r>
                  <w:r w:rsidR="004A7A22">
                    <w:rPr>
                      <w:noProof/>
                      <w:webHidden/>
                    </w:rPr>
                    <w:tab/>
                  </w:r>
                  <w:r w:rsidR="004A7A22">
                    <w:rPr>
                      <w:noProof/>
                      <w:webHidden/>
                    </w:rPr>
                    <w:fldChar w:fldCharType="begin"/>
                  </w:r>
                  <w:r w:rsidR="004A7A22">
                    <w:rPr>
                      <w:noProof/>
                      <w:webHidden/>
                    </w:rPr>
                    <w:instrText xml:space="preserve"> PAGEREF _Toc42767706 \h </w:instrText>
                  </w:r>
                  <w:r w:rsidR="004A7A22">
                    <w:rPr>
                      <w:noProof/>
                      <w:webHidden/>
                    </w:rPr>
                  </w:r>
                  <w:r w:rsidR="004A7A22">
                    <w:rPr>
                      <w:noProof/>
                      <w:webHidden/>
                    </w:rPr>
                    <w:fldChar w:fldCharType="separate"/>
                  </w:r>
                  <w:r w:rsidR="00D41EDE">
                    <w:rPr>
                      <w:noProof/>
                      <w:webHidden/>
                    </w:rPr>
                    <w:t>13</w:t>
                  </w:r>
                  <w:r w:rsidR="004A7A22">
                    <w:rPr>
                      <w:noProof/>
                      <w:webHidden/>
                    </w:rPr>
                    <w:fldChar w:fldCharType="end"/>
                  </w:r>
                </w:hyperlink>
              </w:p>
              <w:p w14:paraId="3CFE5ED7" w14:textId="541376B4" w:rsidR="004A7A22" w:rsidRDefault="00CE3039">
                <w:pPr>
                  <w:pStyle w:val="TOC2"/>
                  <w:rPr>
                    <w:rFonts w:asciiTheme="minorHAnsi" w:eastAsiaTheme="minorEastAsia" w:hAnsiTheme="minorHAnsi" w:cstheme="minorBidi"/>
                    <w:bCs w:val="0"/>
                    <w:noProof/>
                    <w:sz w:val="22"/>
                    <w:lang w:eastAsia="en-AU"/>
                  </w:rPr>
                </w:pPr>
                <w:hyperlink w:anchor="_Toc42767707" w:history="1">
                  <w:r w:rsidR="004A7A22" w:rsidRPr="00B17EB3">
                    <w:rPr>
                      <w:rStyle w:val="Hyperlink"/>
                      <w:rFonts w:eastAsia="SimSun"/>
                      <w:noProof/>
                    </w:rPr>
                    <w:t>Type Testing</w:t>
                  </w:r>
                  <w:r w:rsidR="004A7A22">
                    <w:rPr>
                      <w:noProof/>
                      <w:webHidden/>
                    </w:rPr>
                    <w:tab/>
                  </w:r>
                  <w:r w:rsidR="004A7A22">
                    <w:rPr>
                      <w:noProof/>
                      <w:webHidden/>
                    </w:rPr>
                    <w:fldChar w:fldCharType="begin"/>
                  </w:r>
                  <w:r w:rsidR="004A7A22">
                    <w:rPr>
                      <w:noProof/>
                      <w:webHidden/>
                    </w:rPr>
                    <w:instrText xml:space="preserve"> PAGEREF _Toc42767707 \h </w:instrText>
                  </w:r>
                  <w:r w:rsidR="004A7A22">
                    <w:rPr>
                      <w:noProof/>
                      <w:webHidden/>
                    </w:rPr>
                  </w:r>
                  <w:r w:rsidR="004A7A22">
                    <w:rPr>
                      <w:noProof/>
                      <w:webHidden/>
                    </w:rPr>
                    <w:fldChar w:fldCharType="separate"/>
                  </w:r>
                  <w:r w:rsidR="00D41EDE">
                    <w:rPr>
                      <w:noProof/>
                      <w:webHidden/>
                    </w:rPr>
                    <w:t>14</w:t>
                  </w:r>
                  <w:r w:rsidR="004A7A22">
                    <w:rPr>
                      <w:noProof/>
                      <w:webHidden/>
                    </w:rPr>
                    <w:fldChar w:fldCharType="end"/>
                  </w:r>
                </w:hyperlink>
              </w:p>
              <w:p w14:paraId="058930D5" w14:textId="7D42BD5E" w:rsidR="004A7A22" w:rsidRDefault="00CE3039">
                <w:pPr>
                  <w:pStyle w:val="TOC2"/>
                  <w:rPr>
                    <w:rFonts w:asciiTheme="minorHAnsi" w:eastAsiaTheme="minorEastAsia" w:hAnsiTheme="minorHAnsi" w:cstheme="minorBidi"/>
                    <w:bCs w:val="0"/>
                    <w:noProof/>
                    <w:sz w:val="22"/>
                    <w:lang w:eastAsia="en-AU"/>
                  </w:rPr>
                </w:pPr>
                <w:hyperlink w:anchor="_Toc42767708" w:history="1">
                  <w:r w:rsidR="004A7A22" w:rsidRPr="00B17EB3">
                    <w:rPr>
                      <w:rStyle w:val="Hyperlink"/>
                      <w:rFonts w:eastAsia="SimSun"/>
                      <w:noProof/>
                    </w:rPr>
                    <w:t>Routine Sampling and Testing</w:t>
                  </w:r>
                  <w:r w:rsidR="004A7A22">
                    <w:rPr>
                      <w:noProof/>
                      <w:webHidden/>
                    </w:rPr>
                    <w:tab/>
                  </w:r>
                  <w:r w:rsidR="004A7A22">
                    <w:rPr>
                      <w:noProof/>
                      <w:webHidden/>
                    </w:rPr>
                    <w:fldChar w:fldCharType="begin"/>
                  </w:r>
                  <w:r w:rsidR="004A7A22">
                    <w:rPr>
                      <w:noProof/>
                      <w:webHidden/>
                    </w:rPr>
                    <w:instrText xml:space="preserve"> PAGEREF _Toc42767708 \h </w:instrText>
                  </w:r>
                  <w:r w:rsidR="004A7A22">
                    <w:rPr>
                      <w:noProof/>
                      <w:webHidden/>
                    </w:rPr>
                  </w:r>
                  <w:r w:rsidR="004A7A22">
                    <w:rPr>
                      <w:noProof/>
                      <w:webHidden/>
                    </w:rPr>
                    <w:fldChar w:fldCharType="separate"/>
                  </w:r>
                  <w:r w:rsidR="00D41EDE">
                    <w:rPr>
                      <w:noProof/>
                      <w:webHidden/>
                    </w:rPr>
                    <w:t>14</w:t>
                  </w:r>
                  <w:r w:rsidR="004A7A22">
                    <w:rPr>
                      <w:noProof/>
                      <w:webHidden/>
                    </w:rPr>
                    <w:fldChar w:fldCharType="end"/>
                  </w:r>
                </w:hyperlink>
              </w:p>
              <w:p w14:paraId="7B22FCDE" w14:textId="0738623A" w:rsidR="004A7A22" w:rsidRDefault="00CE3039">
                <w:pPr>
                  <w:pStyle w:val="TOC2"/>
                  <w:rPr>
                    <w:rFonts w:asciiTheme="minorHAnsi" w:eastAsiaTheme="minorEastAsia" w:hAnsiTheme="minorHAnsi" w:cstheme="minorBidi"/>
                    <w:bCs w:val="0"/>
                    <w:noProof/>
                    <w:sz w:val="22"/>
                    <w:lang w:eastAsia="en-AU"/>
                  </w:rPr>
                </w:pPr>
                <w:hyperlink w:anchor="_Toc42767709" w:history="1">
                  <w:r w:rsidR="004A7A22" w:rsidRPr="00B17EB3">
                    <w:rPr>
                      <w:rStyle w:val="Hyperlink"/>
                      <w:rFonts w:eastAsia="SimSun"/>
                      <w:noProof/>
                    </w:rPr>
                    <w:t>Acceptance</w:t>
                  </w:r>
                  <w:r w:rsidR="004A7A22">
                    <w:rPr>
                      <w:noProof/>
                      <w:webHidden/>
                    </w:rPr>
                    <w:tab/>
                  </w:r>
                  <w:r w:rsidR="004A7A22">
                    <w:rPr>
                      <w:noProof/>
                      <w:webHidden/>
                    </w:rPr>
                    <w:fldChar w:fldCharType="begin"/>
                  </w:r>
                  <w:r w:rsidR="004A7A22">
                    <w:rPr>
                      <w:noProof/>
                      <w:webHidden/>
                    </w:rPr>
                    <w:instrText xml:space="preserve"> PAGEREF _Toc42767709 \h </w:instrText>
                  </w:r>
                  <w:r w:rsidR="004A7A22">
                    <w:rPr>
                      <w:noProof/>
                      <w:webHidden/>
                    </w:rPr>
                  </w:r>
                  <w:r w:rsidR="004A7A22">
                    <w:rPr>
                      <w:noProof/>
                      <w:webHidden/>
                    </w:rPr>
                    <w:fldChar w:fldCharType="separate"/>
                  </w:r>
                  <w:r w:rsidR="00D41EDE">
                    <w:rPr>
                      <w:noProof/>
                      <w:webHidden/>
                    </w:rPr>
                    <w:t>15</w:t>
                  </w:r>
                  <w:r w:rsidR="004A7A22">
                    <w:rPr>
                      <w:noProof/>
                      <w:webHidden/>
                    </w:rPr>
                    <w:fldChar w:fldCharType="end"/>
                  </w:r>
                </w:hyperlink>
              </w:p>
              <w:p w14:paraId="084BD846" w14:textId="39B844D3" w:rsidR="004A7A22" w:rsidRDefault="00CE3039">
                <w:pPr>
                  <w:pStyle w:val="TOC1"/>
                  <w:rPr>
                    <w:rFonts w:asciiTheme="minorHAnsi" w:eastAsiaTheme="minorEastAsia" w:hAnsiTheme="minorHAnsi" w:cstheme="minorBidi"/>
                    <w:b w:val="0"/>
                    <w:noProof/>
                    <w:sz w:val="22"/>
                    <w:szCs w:val="22"/>
                    <w:lang w:eastAsia="en-AU"/>
                  </w:rPr>
                </w:pPr>
                <w:hyperlink w:anchor="_Toc42767710" w:history="1">
                  <w:r w:rsidR="004A7A22" w:rsidRPr="00B17EB3">
                    <w:rPr>
                      <w:rStyle w:val="Hyperlink"/>
                      <w:rFonts w:eastAsia="SimSun"/>
                      <w:noProof/>
                      <w14:scene3d>
                        <w14:camera w14:prst="orthographicFront"/>
                        <w14:lightRig w14:rig="threePt" w14:dir="t">
                          <w14:rot w14:lat="0" w14:lon="0" w14:rev="0"/>
                        </w14:lightRig>
                      </w14:scene3d>
                    </w:rPr>
                    <w:t>8.</w:t>
                  </w:r>
                  <w:r w:rsidR="004A7A22">
                    <w:rPr>
                      <w:rFonts w:asciiTheme="minorHAnsi" w:eastAsiaTheme="minorEastAsia" w:hAnsiTheme="minorHAnsi" w:cstheme="minorBidi"/>
                      <w:b w:val="0"/>
                      <w:noProof/>
                      <w:sz w:val="22"/>
                      <w:szCs w:val="22"/>
                      <w:lang w:eastAsia="en-AU"/>
                    </w:rPr>
                    <w:tab/>
                  </w:r>
                  <w:r w:rsidR="004A7A22" w:rsidRPr="00B17EB3">
                    <w:rPr>
                      <w:rStyle w:val="Hyperlink"/>
                      <w:rFonts w:eastAsia="SimSun"/>
                      <w:noProof/>
                    </w:rPr>
                    <w:t>Information to be Supplied by the Manufacturer</w:t>
                  </w:r>
                  <w:r w:rsidR="004A7A22">
                    <w:rPr>
                      <w:noProof/>
                      <w:webHidden/>
                    </w:rPr>
                    <w:tab/>
                  </w:r>
                  <w:r w:rsidR="004A7A22">
                    <w:rPr>
                      <w:noProof/>
                      <w:webHidden/>
                    </w:rPr>
                    <w:fldChar w:fldCharType="begin"/>
                  </w:r>
                  <w:r w:rsidR="004A7A22">
                    <w:rPr>
                      <w:noProof/>
                      <w:webHidden/>
                    </w:rPr>
                    <w:instrText xml:space="preserve"> PAGEREF _Toc42767710 \h </w:instrText>
                  </w:r>
                  <w:r w:rsidR="004A7A22">
                    <w:rPr>
                      <w:noProof/>
                      <w:webHidden/>
                    </w:rPr>
                  </w:r>
                  <w:r w:rsidR="004A7A22">
                    <w:rPr>
                      <w:noProof/>
                      <w:webHidden/>
                    </w:rPr>
                    <w:fldChar w:fldCharType="separate"/>
                  </w:r>
                  <w:r w:rsidR="00D41EDE">
                    <w:rPr>
                      <w:noProof/>
                      <w:webHidden/>
                    </w:rPr>
                    <w:t>15</w:t>
                  </w:r>
                  <w:r w:rsidR="004A7A22">
                    <w:rPr>
                      <w:noProof/>
                      <w:webHidden/>
                    </w:rPr>
                    <w:fldChar w:fldCharType="end"/>
                  </w:r>
                </w:hyperlink>
              </w:p>
              <w:p w14:paraId="60B4A036" w14:textId="5B59ACFB" w:rsidR="004A7A22" w:rsidRDefault="00CE3039">
                <w:pPr>
                  <w:pStyle w:val="TOC1"/>
                  <w:tabs>
                    <w:tab w:val="left" w:pos="1571"/>
                  </w:tabs>
                  <w:rPr>
                    <w:rFonts w:asciiTheme="minorHAnsi" w:eastAsiaTheme="minorEastAsia" w:hAnsiTheme="minorHAnsi" w:cstheme="minorBidi"/>
                    <w:b w:val="0"/>
                    <w:noProof/>
                    <w:sz w:val="22"/>
                    <w:szCs w:val="22"/>
                    <w:lang w:eastAsia="en-AU"/>
                  </w:rPr>
                </w:pPr>
                <w:hyperlink w:anchor="_Toc42767711" w:history="1">
                  <w:r w:rsidR="004A7A22" w:rsidRPr="00B17EB3">
                    <w:rPr>
                      <w:rStyle w:val="Hyperlink"/>
                      <w:rFonts w:eastAsia="SimSun"/>
                      <w:noProof/>
                    </w:rPr>
                    <w:t>Annexure A:</w:t>
                  </w:r>
                  <w:r w:rsidR="004A7A22">
                    <w:rPr>
                      <w:rFonts w:asciiTheme="minorHAnsi" w:eastAsiaTheme="minorEastAsia" w:hAnsiTheme="minorHAnsi" w:cstheme="minorBidi"/>
                      <w:b w:val="0"/>
                      <w:noProof/>
                      <w:sz w:val="22"/>
                      <w:szCs w:val="22"/>
                      <w:lang w:eastAsia="en-AU"/>
                    </w:rPr>
                    <w:tab/>
                  </w:r>
                  <w:r w:rsidR="004A7A22" w:rsidRPr="00B17EB3">
                    <w:rPr>
                      <w:rStyle w:val="Hyperlink"/>
                      <w:rFonts w:eastAsia="SimSun"/>
                      <w:noProof/>
                    </w:rPr>
                    <w:t>Summary of Hold Points, Witness Points and Records</w:t>
                  </w:r>
                  <w:r w:rsidR="004A7A22">
                    <w:rPr>
                      <w:noProof/>
                      <w:webHidden/>
                    </w:rPr>
                    <w:tab/>
                  </w:r>
                  <w:r w:rsidR="004A7A22">
                    <w:rPr>
                      <w:noProof/>
                      <w:webHidden/>
                    </w:rPr>
                    <w:fldChar w:fldCharType="begin"/>
                  </w:r>
                  <w:r w:rsidR="004A7A22">
                    <w:rPr>
                      <w:noProof/>
                      <w:webHidden/>
                    </w:rPr>
                    <w:instrText xml:space="preserve"> PAGEREF _Toc42767711 \h </w:instrText>
                  </w:r>
                  <w:r w:rsidR="004A7A22">
                    <w:rPr>
                      <w:noProof/>
                      <w:webHidden/>
                    </w:rPr>
                  </w:r>
                  <w:r w:rsidR="004A7A22">
                    <w:rPr>
                      <w:noProof/>
                      <w:webHidden/>
                    </w:rPr>
                    <w:fldChar w:fldCharType="separate"/>
                  </w:r>
                  <w:r w:rsidR="00D41EDE">
                    <w:rPr>
                      <w:noProof/>
                      <w:webHidden/>
                    </w:rPr>
                    <w:t>16</w:t>
                  </w:r>
                  <w:r w:rsidR="004A7A22">
                    <w:rPr>
                      <w:noProof/>
                      <w:webHidden/>
                    </w:rPr>
                    <w:fldChar w:fldCharType="end"/>
                  </w:r>
                </w:hyperlink>
              </w:p>
              <w:p w14:paraId="731494AC" w14:textId="0C732CF5" w:rsidR="00AF1D72" w:rsidRPr="003F7623" w:rsidRDefault="00B23DC4" w:rsidP="00554DAF">
                <w:pPr>
                  <w:pStyle w:val="TOC1"/>
                  <w:tabs>
                    <w:tab w:val="left" w:pos="1571"/>
                  </w:tabs>
                  <w:rPr>
                    <w:rFonts w:cs="Arial"/>
                    <w:b w:val="0"/>
                    <w:bCs/>
                  </w:rPr>
                </w:pPr>
                <w:r w:rsidRPr="00E562B0">
                  <w:rPr>
                    <w:rFonts w:cs="Arial"/>
                    <w:b w:val="0"/>
                    <w:bCs/>
                  </w:rPr>
                  <w:fldChar w:fldCharType="end"/>
                </w:r>
              </w:p>
            </w:sdtContent>
          </w:sdt>
        </w:tc>
      </w:tr>
    </w:tbl>
    <w:p w14:paraId="7FA9E9E5" w14:textId="12D2B50B" w:rsidR="00991F4D" w:rsidRPr="003E31BA" w:rsidRDefault="00AF1D72" w:rsidP="00F25714">
      <w:pPr>
        <w:pStyle w:val="Heading1"/>
        <w:pageBreakBefore/>
      </w:pPr>
      <w:bookmarkStart w:id="2" w:name="_Toc42767681"/>
      <w:r w:rsidRPr="003E31BA">
        <w:lastRenderedPageBreak/>
        <w:t>Scope</w:t>
      </w:r>
      <w:bookmarkEnd w:id="0"/>
      <w:bookmarkEnd w:id="2"/>
    </w:p>
    <w:p w14:paraId="0F7458D3" w14:textId="1AD5B902" w:rsidR="00DF5A71" w:rsidRPr="0037692B" w:rsidRDefault="00DF5A71" w:rsidP="0037692B">
      <w:pPr>
        <w:pStyle w:val="Bodynumbered1"/>
      </w:pPr>
      <w:bookmarkStart w:id="3" w:name="_Toc514678946"/>
      <w:bookmarkStart w:id="4" w:name="_Toc886733"/>
      <w:bookmarkStart w:id="5" w:name="_Toc886732"/>
      <w:r w:rsidRPr="0037692B">
        <w:t xml:space="preserve">This Austroads Technical Specification ATS 2230 sets out the requirements for the supply of small precast reinforced concrete rectangular box culverts, up to 1200 mm </w:t>
      </w:r>
      <w:r w:rsidR="005F76FF">
        <w:t>wide</w:t>
      </w:r>
      <w:r w:rsidR="005F76FF" w:rsidRPr="0037692B">
        <w:t xml:space="preserve"> </w:t>
      </w:r>
      <w:r w:rsidRPr="0037692B">
        <w:t xml:space="preserve">and 1200 mm </w:t>
      </w:r>
      <w:r w:rsidR="005F76FF">
        <w:t>high,</w:t>
      </w:r>
      <w:r w:rsidR="005F76FF" w:rsidRPr="0037692B">
        <w:t xml:space="preserve"> </w:t>
      </w:r>
      <w:r w:rsidRPr="0037692B">
        <w:t>and associated link slabs. It excludes box culverts:</w:t>
      </w:r>
    </w:p>
    <w:p w14:paraId="7D803EBC" w14:textId="77777777" w:rsidR="00DF5A71" w:rsidRPr="0037692B" w:rsidRDefault="00DF5A71" w:rsidP="0037692B">
      <w:pPr>
        <w:pStyle w:val="Bodynumbered2"/>
      </w:pPr>
      <w:r w:rsidRPr="0037692B">
        <w:t xml:space="preserve">which are subject to internal hydraulic </w:t>
      </w:r>
      <w:proofErr w:type="gramStart"/>
      <w:r w:rsidRPr="0037692B">
        <w:t>pressure;</w:t>
      </w:r>
      <w:proofErr w:type="gramEnd"/>
    </w:p>
    <w:p w14:paraId="3BF3B951" w14:textId="77777777" w:rsidR="00DF5A71" w:rsidRPr="0037692B" w:rsidRDefault="00DF5A71" w:rsidP="0037692B">
      <w:pPr>
        <w:pStyle w:val="Bodynumbered2"/>
      </w:pPr>
      <w:r w:rsidRPr="0037692B">
        <w:t xml:space="preserve">which are placed under more than 2.0 metres of </w:t>
      </w:r>
      <w:proofErr w:type="gramStart"/>
      <w:r w:rsidRPr="0037692B">
        <w:t>fill;</w:t>
      </w:r>
      <w:proofErr w:type="gramEnd"/>
      <w:r w:rsidRPr="0037692B">
        <w:t xml:space="preserve"> </w:t>
      </w:r>
    </w:p>
    <w:p w14:paraId="10193E8E" w14:textId="77777777" w:rsidR="00DF5A71" w:rsidRPr="0037692B" w:rsidRDefault="00DF5A71" w:rsidP="0037692B">
      <w:pPr>
        <w:pStyle w:val="Bodynumbered2"/>
      </w:pPr>
      <w:r w:rsidRPr="0037692B">
        <w:t>where conformity is demonstrated by design instead of strength load testing (refer AS 1597.2</w:t>
      </w:r>
      <w:proofErr w:type="gramStart"/>
      <w:r w:rsidRPr="0037692B">
        <w:t>);</w:t>
      </w:r>
      <w:proofErr w:type="gramEnd"/>
    </w:p>
    <w:p w14:paraId="3381972B" w14:textId="77777777" w:rsidR="00DF5A71" w:rsidRPr="0037692B" w:rsidRDefault="00DF5A71" w:rsidP="0037692B">
      <w:pPr>
        <w:pStyle w:val="Bodynumbered2"/>
      </w:pPr>
      <w:r w:rsidRPr="0037692B">
        <w:t>that are designated railway load class in accordance with AS 1597.1; or</w:t>
      </w:r>
    </w:p>
    <w:p w14:paraId="0D910E56" w14:textId="091A196E" w:rsidR="00DF5A71" w:rsidRPr="0037692B" w:rsidRDefault="00AC5C8A" w:rsidP="0037692B">
      <w:pPr>
        <w:pStyle w:val="Bodynumbered2"/>
      </w:pPr>
      <w:r>
        <w:t xml:space="preserve">that are </w:t>
      </w:r>
      <w:r w:rsidR="00DF5A71" w:rsidRPr="0037692B">
        <w:t>U shape culverts as defined in AS 1597.1</w:t>
      </w:r>
    </w:p>
    <w:p w14:paraId="10DFB82F" w14:textId="77777777" w:rsidR="00DF5A71" w:rsidRPr="0037692B" w:rsidRDefault="00DF5A71" w:rsidP="0037692B">
      <w:pPr>
        <w:pStyle w:val="Bodynumbered1"/>
      </w:pPr>
      <w:r w:rsidRPr="0037692B">
        <w:t xml:space="preserve">Further to the provisions of Appendix A of </w:t>
      </w:r>
      <w:bookmarkStart w:id="6" w:name="_Hlk5894345"/>
      <w:r w:rsidRPr="0037692B">
        <w:t xml:space="preserve">AS 1597.1, </w:t>
      </w:r>
      <w:bookmarkEnd w:id="6"/>
      <w:r w:rsidRPr="0037692B">
        <w:t>the required size, load classes, exposure classification, culvert types and other information are as shown on the drawings or as specified.</w:t>
      </w:r>
    </w:p>
    <w:p w14:paraId="4FB3CE59" w14:textId="254D57C7" w:rsidR="00E562B0" w:rsidRPr="0037692B" w:rsidRDefault="00DF5A71" w:rsidP="0037692B">
      <w:pPr>
        <w:pStyle w:val="Bodynumbered1"/>
      </w:pPr>
      <w:r w:rsidRPr="0037692B">
        <w:t>Culvert Components must comply with the requirements of AS 1597.1 and as stated in this Specification.</w:t>
      </w:r>
    </w:p>
    <w:p w14:paraId="159394C7" w14:textId="77777777" w:rsidR="009F08ED" w:rsidRPr="0037692B" w:rsidRDefault="009F08ED" w:rsidP="0037692B">
      <w:pPr>
        <w:pStyle w:val="Heading1"/>
        <w:rPr>
          <w:rFonts w:eastAsiaTheme="majorEastAsia"/>
        </w:rPr>
      </w:pPr>
      <w:bookmarkStart w:id="7" w:name="_Toc42767682"/>
      <w:r w:rsidRPr="0037692B">
        <w:t>Definitions</w:t>
      </w:r>
      <w:bookmarkEnd w:id="7"/>
    </w:p>
    <w:p w14:paraId="0F848EB2" w14:textId="77777777" w:rsidR="00DF5A71" w:rsidRPr="0037692B" w:rsidRDefault="00DF5A71" w:rsidP="0037692B">
      <w:pPr>
        <w:pStyle w:val="Bodynumbered1"/>
      </w:pPr>
      <w:bookmarkStart w:id="8" w:name="1.3.1_Definitions_–_Personnel"/>
      <w:bookmarkStart w:id="9" w:name="1.4_Work_Health_&amp;_Safety_(WHS)"/>
      <w:bookmarkStart w:id="10" w:name="1.6.3_Principal_Supplied_Components"/>
      <w:bookmarkStart w:id="11" w:name="4_Design,_Specification,_Documentation_a"/>
      <w:bookmarkEnd w:id="8"/>
      <w:bookmarkEnd w:id="9"/>
      <w:bookmarkEnd w:id="10"/>
      <w:bookmarkEnd w:id="11"/>
      <w:r w:rsidRPr="0037692B">
        <w:t>In addition to the definitions in AS 1597.1 and AS 5100.5, the following definitions apply to this Specification:</w:t>
      </w:r>
    </w:p>
    <w:p w14:paraId="348A3DC8" w14:textId="444E9AA0" w:rsidR="00372245" w:rsidRDefault="00DF5A71" w:rsidP="0037692B">
      <w:pPr>
        <w:pStyle w:val="BodyTextIndent"/>
      </w:pPr>
      <w:r w:rsidRPr="0043355C">
        <w:t>Culvert Component:</w:t>
      </w:r>
      <w:r w:rsidRPr="0043355C">
        <w:tab/>
        <w:t>A reinforced concrete inverted U shape box culvert and/or link slab.</w:t>
      </w:r>
    </w:p>
    <w:p w14:paraId="4CAC6A38" w14:textId="02CEB9A4" w:rsidR="00DF5A71" w:rsidRPr="0043355C" w:rsidRDefault="00DF5A71" w:rsidP="0037692B">
      <w:pPr>
        <w:pStyle w:val="BodyTextIndent"/>
        <w:rPr>
          <w:b/>
        </w:rPr>
      </w:pPr>
      <w:r w:rsidRPr="0043355C">
        <w:t>Professional Engineer:</w:t>
      </w:r>
      <w:r w:rsidRPr="0043355C">
        <w:tab/>
        <w:t>A Chartered Professional Engineer who:</w:t>
      </w:r>
    </w:p>
    <w:p w14:paraId="0D73B94B" w14:textId="2C71EEB7" w:rsidR="00DF5A71" w:rsidRPr="0037692B" w:rsidRDefault="00AC5C8A" w:rsidP="007D4887">
      <w:pPr>
        <w:pStyle w:val="Bodynumbered2"/>
        <w:numPr>
          <w:ilvl w:val="0"/>
          <w:numId w:val="26"/>
        </w:numPr>
        <w:ind w:left="924" w:hanging="357"/>
        <w:rPr>
          <w:b/>
        </w:rPr>
      </w:pPr>
      <w:r>
        <w:t xml:space="preserve">is </w:t>
      </w:r>
      <w:r w:rsidR="00DF5A71" w:rsidRPr="0043355C">
        <w:t>registered on the National Engineering Register (NER</w:t>
      </w:r>
      <w:proofErr w:type="gramStart"/>
      <w:r w:rsidR="00DF5A71" w:rsidRPr="0043355C">
        <w:t>);</w:t>
      </w:r>
      <w:proofErr w:type="gramEnd"/>
    </w:p>
    <w:p w14:paraId="2B9828A5" w14:textId="29B7976B" w:rsidR="00DF5A71" w:rsidRPr="0043355C" w:rsidRDefault="00AC5C8A" w:rsidP="0037692B">
      <w:pPr>
        <w:pStyle w:val="Bodynumbered2"/>
        <w:rPr>
          <w:b/>
        </w:rPr>
      </w:pPr>
      <w:r>
        <w:t xml:space="preserve">is </w:t>
      </w:r>
      <w:r w:rsidR="00DF5A71" w:rsidRPr="0043355C">
        <w:t xml:space="preserve">registered on any scheme of registration of engineers prescribed by legislation in the applicable </w:t>
      </w:r>
      <w:proofErr w:type="gramStart"/>
      <w:r w:rsidR="00DF5A71" w:rsidRPr="0043355C">
        <w:t>jurisdiction;</w:t>
      </w:r>
      <w:proofErr w:type="gramEnd"/>
      <w:r w:rsidR="00DF5A71" w:rsidRPr="0043355C">
        <w:t xml:space="preserve"> </w:t>
      </w:r>
    </w:p>
    <w:p w14:paraId="075C16D7" w14:textId="0E1C4E94" w:rsidR="00DF5A71" w:rsidRPr="0043355C" w:rsidRDefault="00DF5A71" w:rsidP="0037692B">
      <w:pPr>
        <w:pStyle w:val="Bodynumbered2"/>
        <w:rPr>
          <w:b/>
        </w:rPr>
      </w:pPr>
      <w:r w:rsidRPr="0043355C">
        <w:t>has at least 5 years</w:t>
      </w:r>
      <w:r w:rsidR="00AC5C8A">
        <w:t>’</w:t>
      </w:r>
      <w:r w:rsidRPr="0043355C">
        <w:t xml:space="preserve"> experience in design of concrete structures; and</w:t>
      </w:r>
    </w:p>
    <w:p w14:paraId="72E4E1DC" w14:textId="77777777" w:rsidR="00DF5A71" w:rsidRPr="0043355C" w:rsidRDefault="00DF5A71" w:rsidP="0037692B">
      <w:pPr>
        <w:pStyle w:val="Bodynumbered2"/>
        <w:rPr>
          <w:b/>
        </w:rPr>
      </w:pPr>
      <w:r w:rsidRPr="0043355C">
        <w:t>is appropriately registered or prequalified if the Principal has implemented an applicable registration or prequalification scheme.</w:t>
      </w:r>
    </w:p>
    <w:tbl>
      <w:tblPr>
        <w:tblStyle w:val="SimpleTable4"/>
        <w:tblW w:w="0" w:type="auto"/>
        <w:tblInd w:w="-1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356"/>
      </w:tblGrid>
      <w:tr w:rsidR="00DF5A71" w:rsidRPr="0043355C" w14:paraId="193FCE80" w14:textId="77777777" w:rsidTr="006364DC">
        <w:trPr>
          <w:cnfStyle w:val="100000000000" w:firstRow="1" w:lastRow="0" w:firstColumn="0" w:lastColumn="0" w:oddVBand="0" w:evenVBand="0" w:oddHBand="0" w:evenHBand="0" w:firstRowFirstColumn="0" w:firstRowLastColumn="0" w:lastRowFirstColumn="0" w:lastRowLastColumn="0"/>
        </w:trPr>
        <w:tc>
          <w:tcPr>
            <w:tcW w:w="9356" w:type="dxa"/>
            <w:shd w:val="clear" w:color="auto" w:fill="D9D9D9"/>
          </w:tcPr>
          <w:p w14:paraId="51B9B81F" w14:textId="7F82D3BD" w:rsidR="00DF5A71" w:rsidRPr="0037692B" w:rsidRDefault="00DF5A71" w:rsidP="0037692B">
            <w:pPr>
              <w:pStyle w:val="BodyText"/>
              <w:rPr>
                <w:b w:val="0"/>
                <w:bCs w:val="0"/>
              </w:rPr>
            </w:pPr>
            <w:r w:rsidRPr="0037692B">
              <w:rPr>
                <w:b w:val="0"/>
                <w:bCs w:val="0"/>
              </w:rPr>
              <w:t>For Culvert Components manufactured and/or installed in Queensland, the following additional requirement applies:</w:t>
            </w:r>
          </w:p>
          <w:p w14:paraId="5CD95933" w14:textId="77777777" w:rsidR="00DF5A71" w:rsidRPr="0037692B" w:rsidRDefault="00DF5A71" w:rsidP="0037692B">
            <w:pPr>
              <w:pStyle w:val="Bodynumbered1"/>
              <w:rPr>
                <w:b w:val="0"/>
                <w:bCs/>
              </w:rPr>
            </w:pPr>
            <w:r w:rsidRPr="0037692B">
              <w:rPr>
                <w:b w:val="0"/>
                <w:bCs/>
              </w:rPr>
              <w:t>The Professional Engineer must be a Registered Professional Engineer of Queensland (RPEQ).</w:t>
            </w:r>
          </w:p>
        </w:tc>
      </w:tr>
    </w:tbl>
    <w:p w14:paraId="513F04C9" w14:textId="77777777" w:rsidR="00DF5A71" w:rsidRPr="0037692B" w:rsidRDefault="00DF5A71" w:rsidP="0037692B">
      <w:pPr>
        <w:pStyle w:val="Bodynumbered1"/>
      </w:pPr>
      <w:r w:rsidRPr="0037692B">
        <w:t>The following definitions apply to the lifting requirements:</w:t>
      </w:r>
    </w:p>
    <w:p w14:paraId="58170700" w14:textId="77777777" w:rsidR="00F25714" w:rsidRDefault="00DF5A71" w:rsidP="00F25714">
      <w:pPr>
        <w:pStyle w:val="BodyTextIndent"/>
        <w:spacing w:after="0"/>
        <w:ind w:left="2410" w:hanging="1843"/>
      </w:pPr>
      <w:r w:rsidRPr="0037692B">
        <w:t>Applied Load</w:t>
      </w:r>
      <w:r w:rsidR="0037692B">
        <w:tab/>
      </w:r>
      <w:r w:rsidRPr="0037692B">
        <w:t>The dead weight of the precast concrete culvert multiplied by the sling</w:t>
      </w:r>
    </w:p>
    <w:p w14:paraId="79A76F41" w14:textId="3AF9D605" w:rsidR="00DF5A71" w:rsidRPr="0037692B" w:rsidRDefault="00F25714" w:rsidP="00F25714">
      <w:pPr>
        <w:pStyle w:val="BodyTextIndent"/>
        <w:spacing w:before="0"/>
        <w:ind w:left="2410" w:hanging="1843"/>
      </w:pPr>
      <w:r w:rsidRPr="0037692B">
        <w:t>per Anchor:</w:t>
      </w:r>
      <w:r>
        <w:tab/>
      </w:r>
      <w:r w:rsidR="00DF5A71" w:rsidRPr="0037692B">
        <w:t>angle factor and the dynamic factor and divided by the number of effective lifting points used in the lift.</w:t>
      </w:r>
    </w:p>
    <w:p w14:paraId="27640175" w14:textId="075EE5C4" w:rsidR="00DF5A71" w:rsidRPr="0037692B" w:rsidRDefault="00DF5A71" w:rsidP="00F25714">
      <w:pPr>
        <w:pStyle w:val="BodyTextIndent"/>
        <w:ind w:left="2410" w:hanging="1843"/>
      </w:pPr>
      <w:r w:rsidRPr="0037692B">
        <w:t>Dynamic Factor:</w:t>
      </w:r>
      <w:r w:rsidRPr="0037692B">
        <w:tab/>
        <w:t>A multiplying factor to account for dynamic effects during lifting.</w:t>
      </w:r>
    </w:p>
    <w:p w14:paraId="4298AE42" w14:textId="3F67ACD9" w:rsidR="00DF5A71" w:rsidRPr="0037692B" w:rsidRDefault="00DF5A71" w:rsidP="00F25714">
      <w:pPr>
        <w:pStyle w:val="BodyTextIndent"/>
        <w:ind w:left="2410" w:hanging="1843"/>
      </w:pPr>
      <w:r w:rsidRPr="0037692B">
        <w:t>Factor of Safety:</w:t>
      </w:r>
      <w:r w:rsidRPr="0037692B">
        <w:tab/>
        <w:t>The ultimate capacity (lower characteristic strength) of the lifting anchor divided by the applied load per anchor.</w:t>
      </w:r>
    </w:p>
    <w:p w14:paraId="76620220" w14:textId="77C799E4" w:rsidR="00DF5A71" w:rsidRPr="0037692B" w:rsidRDefault="00DF5A71" w:rsidP="00F25714">
      <w:pPr>
        <w:pStyle w:val="BodyTextIndent"/>
        <w:ind w:left="2410" w:hanging="1843"/>
      </w:pPr>
      <w:r w:rsidRPr="0037692B">
        <w:t>Lifting Anchor:</w:t>
      </w:r>
      <w:r w:rsidRPr="0037692B">
        <w:tab/>
        <w:t xml:space="preserve">A cast in, bolted </w:t>
      </w:r>
      <w:proofErr w:type="gramStart"/>
      <w:r w:rsidRPr="0037692B">
        <w:t>on</w:t>
      </w:r>
      <w:proofErr w:type="gramEnd"/>
      <w:r w:rsidRPr="0037692B">
        <w:t xml:space="preserve"> or otherwise attached device anchored to the precast culvert component at the lifting point, which is provided exclusively for lifting the precast concrete culvert.</w:t>
      </w:r>
    </w:p>
    <w:p w14:paraId="28F871E6" w14:textId="77777777" w:rsidR="00DF5A71" w:rsidRPr="0037692B" w:rsidRDefault="00DF5A71" w:rsidP="00F25714">
      <w:pPr>
        <w:pStyle w:val="BodyTextIndent"/>
        <w:ind w:left="2410" w:hanging="1843"/>
      </w:pPr>
      <w:r w:rsidRPr="0037692B">
        <w:lastRenderedPageBreak/>
        <w:t>Lifting Attachment:</w:t>
      </w:r>
      <w:r w:rsidRPr="0037692B">
        <w:tab/>
        <w:t>Lifting device used to attach a lifting anchor to the hoisting equipment.</w:t>
      </w:r>
    </w:p>
    <w:p w14:paraId="5E364A29" w14:textId="5EA13704" w:rsidR="00DF5A71" w:rsidRPr="0037692B" w:rsidRDefault="00DF5A71" w:rsidP="00F25714">
      <w:pPr>
        <w:pStyle w:val="BodyTextIndent"/>
        <w:ind w:left="2410" w:hanging="1843"/>
      </w:pPr>
      <w:r w:rsidRPr="0037692B">
        <w:t>Lifting Point:</w:t>
      </w:r>
      <w:r w:rsidRPr="0037692B">
        <w:tab/>
        <w:t>The designed location of a lifting device to be used for lifting a precast concrete culvert.</w:t>
      </w:r>
    </w:p>
    <w:p w14:paraId="63C7FD48" w14:textId="69C871BD" w:rsidR="00DF5A71" w:rsidRPr="0037692B" w:rsidRDefault="00DF5A71" w:rsidP="00F25714">
      <w:pPr>
        <w:pStyle w:val="BodyTextIndent"/>
        <w:ind w:left="2410" w:hanging="1843"/>
      </w:pPr>
      <w:r w:rsidRPr="0037692B">
        <w:t>Rigging Diagram:</w:t>
      </w:r>
      <w:r w:rsidRPr="0037692B">
        <w:tab/>
        <w:t xml:space="preserve">Diagram showing the method for attaching hoisting equipment to the precast concrete culvert, the required sling </w:t>
      </w:r>
      <w:proofErr w:type="gramStart"/>
      <w:r w:rsidRPr="0037692B">
        <w:t>angles</w:t>
      </w:r>
      <w:proofErr w:type="gramEnd"/>
      <w:r w:rsidRPr="0037692B">
        <w:t xml:space="preserve"> and load sharing requirements.</w:t>
      </w:r>
    </w:p>
    <w:p w14:paraId="0A4C8CB3" w14:textId="77777777" w:rsidR="00DF5A71" w:rsidRPr="0037692B" w:rsidRDefault="00DF5A71" w:rsidP="00F25714">
      <w:pPr>
        <w:pStyle w:val="BodyTextIndent"/>
        <w:ind w:left="2410" w:hanging="1843"/>
      </w:pPr>
      <w:r w:rsidRPr="0037692B">
        <w:t>Sling Angle Factor:</w:t>
      </w:r>
      <w:r w:rsidRPr="0037692B">
        <w:tab/>
        <w:t>The factor by which the tension in a sling increases according to the included angle between the slings.</w:t>
      </w:r>
    </w:p>
    <w:p w14:paraId="7CE1AA33" w14:textId="6F3C8BBA" w:rsidR="003E31BA" w:rsidRPr="0037692B" w:rsidRDefault="00DF5A71" w:rsidP="00F25714">
      <w:pPr>
        <w:pStyle w:val="BodyTextIndent"/>
        <w:ind w:left="2410" w:hanging="1843"/>
      </w:pPr>
      <w:r w:rsidRPr="0037692B">
        <w:t>Working Load Limit:</w:t>
      </w:r>
      <w:r w:rsidR="00F25714">
        <w:tab/>
      </w:r>
      <w:r w:rsidRPr="0037692B">
        <w:t xml:space="preserve">The maximum load which may be applied to a lifting anchor, </w:t>
      </w:r>
      <w:proofErr w:type="gramStart"/>
      <w:r w:rsidRPr="0037692B">
        <w:t>device</w:t>
      </w:r>
      <w:proofErr w:type="gramEnd"/>
      <w:r w:rsidRPr="0037692B">
        <w:t xml:space="preserve"> or attachment.</w:t>
      </w:r>
    </w:p>
    <w:p w14:paraId="2099917E" w14:textId="4316CA44" w:rsidR="00F40305" w:rsidRPr="003E31BA" w:rsidRDefault="003F7623" w:rsidP="00F80178">
      <w:pPr>
        <w:pStyle w:val="Heading1"/>
      </w:pPr>
      <w:bookmarkStart w:id="12" w:name="_Toc42767683"/>
      <w:r w:rsidRPr="003E31BA">
        <w:t>Referenced Documents</w:t>
      </w:r>
      <w:bookmarkEnd w:id="3"/>
      <w:bookmarkEnd w:id="4"/>
      <w:bookmarkEnd w:id="12"/>
    </w:p>
    <w:p w14:paraId="6FBBE6EB" w14:textId="440AD6EA" w:rsidR="00DF5A71" w:rsidRDefault="00DF5A71" w:rsidP="00DF5A71">
      <w:pPr>
        <w:pStyle w:val="Bodynumbered1"/>
        <w:ind w:left="1002" w:hanging="576"/>
      </w:pPr>
      <w:bookmarkStart w:id="13" w:name="_Toc514678947"/>
      <w:bookmarkStart w:id="14" w:name="_Toc886734"/>
      <w:bookmarkEnd w:id="5"/>
      <w:r w:rsidRPr="0043355C">
        <w:t>The following documents are referenced in this Specification.</w:t>
      </w:r>
    </w:p>
    <w:p w14:paraId="68D519AA" w14:textId="77777777" w:rsidR="004F5D92" w:rsidRPr="0043355C" w:rsidRDefault="00DF5A71" w:rsidP="004F5D92">
      <w:pPr>
        <w:pStyle w:val="BodyTextIndent"/>
        <w:pBdr>
          <w:top w:val="single" w:sz="2" w:space="1" w:color="004259"/>
        </w:pBdr>
        <w:rPr>
          <w:b/>
        </w:rPr>
      </w:pPr>
      <w:r w:rsidRPr="0043355C">
        <w:rPr>
          <w:b/>
          <w:bCs w:val="0"/>
          <w:color w:val="004259"/>
        </w:rPr>
        <w:t>Aust</w:t>
      </w:r>
      <w:r w:rsidR="004F5D92">
        <w:rPr>
          <w:b/>
          <w:bCs w:val="0"/>
          <w:color w:val="004259"/>
        </w:rPr>
        <w:t xml:space="preserve">roads </w:t>
      </w:r>
      <w:r w:rsidR="004F5D92" w:rsidRPr="0043355C">
        <w:t>(available from:</w:t>
      </w:r>
      <w:r w:rsidR="004F5D92" w:rsidRPr="0043355C">
        <w:rPr>
          <w:b/>
        </w:rPr>
        <w:t xml:space="preserve"> </w:t>
      </w:r>
      <w:hyperlink r:id="rId12" w:history="1">
        <w:r w:rsidR="004F5D92" w:rsidRPr="0043355C">
          <w:rPr>
            <w:rStyle w:val="Hyperlink"/>
          </w:rPr>
          <w:t>https://austroads.com.au/publications</w:t>
        </w:r>
      </w:hyperlink>
      <w:r w:rsidR="004F5D92" w:rsidRPr="0043355C">
        <w:t>)</w:t>
      </w:r>
    </w:p>
    <w:p w14:paraId="4A609F54" w14:textId="26E13BD6" w:rsidR="004F5D92" w:rsidRPr="004F5D92" w:rsidRDefault="004F5D92" w:rsidP="004F5D92">
      <w:pPr>
        <w:pStyle w:val="BodyTextIndent"/>
        <w:ind w:left="2157" w:hanging="1590"/>
      </w:pPr>
      <w:r w:rsidRPr="004F5D92">
        <w:t xml:space="preserve">AGBT T710–19 </w:t>
      </w:r>
      <w:r w:rsidRPr="004F5D92">
        <w:tab/>
        <w:t xml:space="preserve">Austroads Test Method - Accelerated </w:t>
      </w:r>
      <w:bookmarkStart w:id="15" w:name="_Hlk5805406"/>
      <w:r w:rsidRPr="004F5D92">
        <w:t xml:space="preserve">Mortar Bar Test - </w:t>
      </w:r>
      <w:bookmarkEnd w:id="15"/>
      <w:r w:rsidRPr="004F5D92">
        <w:t>Alkali-Silica Reactivity of Aggregate</w:t>
      </w:r>
    </w:p>
    <w:p w14:paraId="77CD299C" w14:textId="7724D5AC" w:rsidR="004F5D92" w:rsidRPr="004F5D92" w:rsidRDefault="004F5D92" w:rsidP="004F5D92">
      <w:pPr>
        <w:pStyle w:val="BodyTextIndent"/>
        <w:ind w:left="2157" w:hanging="1590"/>
      </w:pPr>
      <w:r w:rsidRPr="004F5D92">
        <w:t xml:space="preserve">AGBT T771–19: </w:t>
      </w:r>
      <w:r w:rsidRPr="004F5D92">
        <w:tab/>
        <w:t>Austroads Test Method - Alkali Aggregate Reactivity Assessment - Concrete Prism Test</w:t>
      </w:r>
    </w:p>
    <w:p w14:paraId="14C24C8C" w14:textId="2F508BA3" w:rsidR="004F5D92" w:rsidRPr="004F5D92" w:rsidRDefault="004F5D92" w:rsidP="004F5D92">
      <w:pPr>
        <w:pStyle w:val="BodyTextIndent"/>
      </w:pPr>
      <w:bookmarkStart w:id="16" w:name="_Hlk6994825"/>
      <w:r w:rsidRPr="004F5D92">
        <w:t>ATS 5210</w:t>
      </w:r>
      <w:r w:rsidRPr="004F5D92">
        <w:tab/>
        <w:t>Supply and Placement of Steel Reinforcing</w:t>
      </w:r>
    </w:p>
    <w:bookmarkEnd w:id="16"/>
    <w:p w14:paraId="7512321F" w14:textId="0834AA33" w:rsidR="004F5D92" w:rsidRPr="004F5D92" w:rsidRDefault="004F5D92" w:rsidP="004F5D92">
      <w:pPr>
        <w:pStyle w:val="BodyTextIndent"/>
      </w:pPr>
      <w:r w:rsidRPr="004F5D92">
        <w:t>ATS 5340</w:t>
      </w:r>
      <w:r w:rsidRPr="004F5D92">
        <w:tab/>
        <w:t>Cementitious Patch Repair of Concrete</w:t>
      </w:r>
    </w:p>
    <w:p w14:paraId="5619B5C3" w14:textId="77777777" w:rsidR="004F5D92" w:rsidRDefault="004F5D92" w:rsidP="004F5D92">
      <w:pPr>
        <w:pStyle w:val="BodyTextIndent"/>
        <w:pBdr>
          <w:top w:val="single" w:sz="2" w:space="1" w:color="004259"/>
        </w:pBdr>
        <w:rPr>
          <w:b/>
          <w:bCs w:val="0"/>
          <w:color w:val="004259"/>
        </w:rPr>
      </w:pPr>
      <w:r w:rsidRPr="0043355C">
        <w:rPr>
          <w:b/>
          <w:bCs w:val="0"/>
          <w:color w:val="004259"/>
        </w:rPr>
        <w:t>Australian/New Zealand Standards</w:t>
      </w:r>
    </w:p>
    <w:p w14:paraId="2CC55C96" w14:textId="677208EB" w:rsidR="00DF5A71" w:rsidRPr="004F5D92" w:rsidRDefault="00DF5A71" w:rsidP="004F5D92">
      <w:pPr>
        <w:pStyle w:val="BodyTextIndent"/>
      </w:pPr>
      <w:r w:rsidRPr="004F5D92">
        <w:t>AS 1012</w:t>
      </w:r>
      <w:r w:rsidRPr="004F5D92">
        <w:tab/>
      </w:r>
      <w:r w:rsidR="004F5D92">
        <w:tab/>
      </w:r>
      <w:r w:rsidRPr="004F5D92">
        <w:t>Methods of testing concrete</w:t>
      </w:r>
    </w:p>
    <w:p w14:paraId="2A7DC2CE" w14:textId="1CCD0786" w:rsidR="00DF5A71" w:rsidRPr="004F5D92" w:rsidRDefault="00DF5A71" w:rsidP="004F5D92">
      <w:pPr>
        <w:pStyle w:val="BodyTextIndent"/>
      </w:pPr>
      <w:r w:rsidRPr="004F5D92">
        <w:t>AS 1379</w:t>
      </w:r>
      <w:r w:rsidRPr="004F5D92">
        <w:tab/>
      </w:r>
      <w:r w:rsidR="004F5D92">
        <w:tab/>
      </w:r>
      <w:r w:rsidRPr="004F5D92">
        <w:t>Specification and supply of concrete</w:t>
      </w:r>
    </w:p>
    <w:p w14:paraId="35A72A49" w14:textId="77777777" w:rsidR="00DF5A71" w:rsidRPr="004F5D92" w:rsidRDefault="00DF5A71" w:rsidP="004F5D92">
      <w:pPr>
        <w:pStyle w:val="BodyTextIndent"/>
        <w:ind w:left="2157" w:hanging="1590"/>
      </w:pPr>
      <w:bookmarkStart w:id="17" w:name="_Hlk2330973"/>
      <w:r w:rsidRPr="004F5D92">
        <w:t>AS 1597.1</w:t>
      </w:r>
      <w:bookmarkEnd w:id="17"/>
      <w:r w:rsidRPr="004F5D92">
        <w:tab/>
        <w:t>Precast reinforced concrete box culverts Part 1: Small culverts (not exceeding 1200 mm span and 1200 mm height)</w:t>
      </w:r>
    </w:p>
    <w:p w14:paraId="690DF700" w14:textId="00A66598" w:rsidR="00DF5A71" w:rsidRPr="004F5D92" w:rsidRDefault="00DF5A71" w:rsidP="004F5D92">
      <w:pPr>
        <w:pStyle w:val="BodyTextIndent"/>
      </w:pPr>
      <w:r w:rsidRPr="004F5D92">
        <w:t>AS 2193</w:t>
      </w:r>
      <w:r w:rsidRPr="004F5D92">
        <w:tab/>
      </w:r>
      <w:r w:rsidR="004F5D92">
        <w:tab/>
      </w:r>
      <w:r w:rsidRPr="004F5D92">
        <w:t>Calibration and classification of force-measuring systems</w:t>
      </w:r>
    </w:p>
    <w:p w14:paraId="57C9BBF3" w14:textId="0A941764" w:rsidR="00DF5A71" w:rsidRPr="004F5D92" w:rsidRDefault="00DF5A71" w:rsidP="004F5D92">
      <w:pPr>
        <w:pStyle w:val="BodyTextIndent"/>
      </w:pPr>
      <w:r w:rsidRPr="004F5D92">
        <w:t>AS 2350.2</w:t>
      </w:r>
      <w:r w:rsidRPr="004F5D92">
        <w:tab/>
        <w:t xml:space="preserve">Methods of testing </w:t>
      </w:r>
      <w:proofErr w:type="spellStart"/>
      <w:r w:rsidRPr="004F5D92">
        <w:t>portland</w:t>
      </w:r>
      <w:proofErr w:type="spellEnd"/>
      <w:r w:rsidRPr="004F5D92">
        <w:t>, blended and masonry cements Chemical composition</w:t>
      </w:r>
    </w:p>
    <w:p w14:paraId="713C4A44" w14:textId="6E522062" w:rsidR="00DF5A71" w:rsidRPr="004F5D92" w:rsidRDefault="00DF5A71" w:rsidP="004F5D92">
      <w:pPr>
        <w:pStyle w:val="BodyTextIndent"/>
      </w:pPr>
      <w:r w:rsidRPr="004F5D92">
        <w:t>AS 2425</w:t>
      </w:r>
      <w:r w:rsidRPr="004F5D92">
        <w:tab/>
      </w:r>
      <w:r w:rsidR="004F5D92">
        <w:tab/>
      </w:r>
      <w:r w:rsidRPr="004F5D92">
        <w:t>Bar chairs in reinforced concrete – Product requirements and test methods</w:t>
      </w:r>
    </w:p>
    <w:p w14:paraId="30FA0F9C" w14:textId="77777777" w:rsidR="00DF5A71" w:rsidRPr="004F5D92" w:rsidRDefault="00DF5A71" w:rsidP="004F5D92">
      <w:pPr>
        <w:pStyle w:val="BodyTextIndent"/>
      </w:pPr>
      <w:r w:rsidRPr="004F5D92">
        <w:t>AS 2758.1</w:t>
      </w:r>
      <w:r w:rsidRPr="004F5D92">
        <w:tab/>
        <w:t>Aggregates and rock for engineering purposes - Concrete aggregates</w:t>
      </w:r>
    </w:p>
    <w:p w14:paraId="0435A5B9" w14:textId="77777777" w:rsidR="00DF5A71" w:rsidRPr="004F5D92" w:rsidRDefault="00DF5A71" w:rsidP="004F5D92">
      <w:pPr>
        <w:pStyle w:val="BodyTextIndent"/>
      </w:pPr>
      <w:r w:rsidRPr="004F5D92">
        <w:t>AS/NZS 3582.1</w:t>
      </w:r>
      <w:r w:rsidRPr="004F5D92">
        <w:tab/>
        <w:t>Part 1: Supplementary cementitious materials - Fly ash</w:t>
      </w:r>
    </w:p>
    <w:p w14:paraId="192359B7" w14:textId="77777777" w:rsidR="00DF5A71" w:rsidRPr="004F5D92" w:rsidRDefault="00DF5A71" w:rsidP="004F5D92">
      <w:pPr>
        <w:pStyle w:val="BodyTextIndent"/>
        <w:ind w:left="2157" w:hanging="1590"/>
      </w:pPr>
      <w:r w:rsidRPr="004F5D92">
        <w:t>AS 3582.2</w:t>
      </w:r>
      <w:r w:rsidRPr="004F5D92">
        <w:tab/>
        <w:t xml:space="preserve">Part 2: Supplementary cementitious materials - Slag </w:t>
      </w:r>
      <w:r w:rsidRPr="004F5D92">
        <w:noBreakHyphen/>
        <w:t xml:space="preserve"> Ground granulated iron blast furnace</w:t>
      </w:r>
    </w:p>
    <w:p w14:paraId="7C357B19" w14:textId="77777777" w:rsidR="00DF5A71" w:rsidRPr="004F5D92" w:rsidRDefault="00DF5A71" w:rsidP="004F5D92">
      <w:pPr>
        <w:pStyle w:val="BodyTextIndent"/>
      </w:pPr>
      <w:r w:rsidRPr="004F5D92">
        <w:t>AS/NZS 3582.3</w:t>
      </w:r>
      <w:r w:rsidRPr="004F5D92">
        <w:tab/>
        <w:t>Part 3: Supplementary cementitious materials - Amorphous silica</w:t>
      </w:r>
    </w:p>
    <w:p w14:paraId="2AC06213" w14:textId="0C20E1B3" w:rsidR="00DF5A71" w:rsidRPr="004F5D92" w:rsidRDefault="00DF5A71" w:rsidP="004F5D92">
      <w:pPr>
        <w:pStyle w:val="BodyTextIndent"/>
      </w:pPr>
      <w:r w:rsidRPr="004F5D92">
        <w:t>AS 3610</w:t>
      </w:r>
      <w:r w:rsidRPr="004F5D92">
        <w:tab/>
      </w:r>
      <w:r w:rsidR="004F5D92">
        <w:tab/>
      </w:r>
      <w:r w:rsidRPr="004F5D92">
        <w:t>Formwork for concrete</w:t>
      </w:r>
    </w:p>
    <w:p w14:paraId="317F2D46" w14:textId="647F4C92" w:rsidR="00DF5A71" w:rsidRPr="004F5D92" w:rsidRDefault="00DF5A71" w:rsidP="004F5D92">
      <w:pPr>
        <w:pStyle w:val="BodyTextIndent"/>
      </w:pPr>
      <w:r w:rsidRPr="004F5D92">
        <w:t>AS 3799</w:t>
      </w:r>
      <w:r w:rsidRPr="004F5D92">
        <w:tab/>
      </w:r>
      <w:r w:rsidR="004F5D92">
        <w:tab/>
      </w:r>
      <w:r w:rsidRPr="004F5D92">
        <w:t>Liquid membrane</w:t>
      </w:r>
      <w:r w:rsidRPr="004F5D92">
        <w:noBreakHyphen/>
        <w:t>forming curing compounds for concrete</w:t>
      </w:r>
    </w:p>
    <w:p w14:paraId="76F89D02" w14:textId="02A964E2" w:rsidR="00DF5A71" w:rsidRPr="004F5D92" w:rsidRDefault="00DF5A71" w:rsidP="004F5D92">
      <w:pPr>
        <w:pStyle w:val="BodyTextIndent"/>
      </w:pPr>
      <w:r w:rsidRPr="004F5D92">
        <w:lastRenderedPageBreak/>
        <w:t>AS 3972</w:t>
      </w:r>
      <w:r w:rsidRPr="004F5D92">
        <w:tab/>
      </w:r>
      <w:r w:rsidR="004F5D92">
        <w:tab/>
      </w:r>
      <w:r w:rsidRPr="004F5D92">
        <w:t>General purpose and blended cements</w:t>
      </w:r>
    </w:p>
    <w:p w14:paraId="3AAC59FA" w14:textId="77777777" w:rsidR="00DF5A71" w:rsidRPr="004F5D92" w:rsidRDefault="00DF5A71" w:rsidP="004F5D92">
      <w:pPr>
        <w:pStyle w:val="BodyTextIndent"/>
      </w:pPr>
      <w:r w:rsidRPr="004F5D92">
        <w:t>AS/NZS 4680</w:t>
      </w:r>
      <w:r w:rsidRPr="004F5D92">
        <w:tab/>
        <w:t>Hot dip galvanized (zinc) coatings on fabricated ferrous articles</w:t>
      </w:r>
    </w:p>
    <w:p w14:paraId="0104963A" w14:textId="4FB46EDE" w:rsidR="00DF5A71" w:rsidRPr="004F5D92" w:rsidRDefault="00DF5A71" w:rsidP="004F5D92">
      <w:pPr>
        <w:pStyle w:val="BodyTextIndent"/>
      </w:pPr>
      <w:r w:rsidRPr="004F5D92">
        <w:t>AS 5100</w:t>
      </w:r>
      <w:r w:rsidRPr="004F5D92">
        <w:tab/>
      </w:r>
      <w:r w:rsidR="004F5D92">
        <w:tab/>
      </w:r>
      <w:r w:rsidRPr="004F5D92">
        <w:t xml:space="preserve">Bridge </w:t>
      </w:r>
      <w:r w:rsidR="00AC5C8A">
        <w:t>d</w:t>
      </w:r>
      <w:r w:rsidR="00AC5C8A" w:rsidRPr="004F5D92">
        <w:t xml:space="preserve">esign </w:t>
      </w:r>
    </w:p>
    <w:p w14:paraId="2803F0B6" w14:textId="287258E7" w:rsidR="00DF5A71" w:rsidRPr="004F5D92" w:rsidRDefault="00DF5A71" w:rsidP="004F5D92">
      <w:pPr>
        <w:pStyle w:val="BodyTextIndent"/>
      </w:pPr>
      <w:r w:rsidRPr="004F5D92">
        <w:t>AS/NZS ISO 9001Quality management systems – Requirements</w:t>
      </w:r>
    </w:p>
    <w:p w14:paraId="3A362E17" w14:textId="77777777" w:rsidR="00DF5A71" w:rsidRPr="0043355C" w:rsidRDefault="00DF5A71" w:rsidP="00DF5A71">
      <w:pPr>
        <w:pStyle w:val="BodyTextIndent"/>
        <w:pBdr>
          <w:top w:val="single" w:sz="2" w:space="1" w:color="004259"/>
        </w:pBdr>
        <w:rPr>
          <w:b/>
          <w:bCs w:val="0"/>
          <w:color w:val="004259"/>
        </w:rPr>
      </w:pPr>
      <w:r w:rsidRPr="0043355C">
        <w:rPr>
          <w:b/>
          <w:bCs w:val="0"/>
          <w:color w:val="004259"/>
        </w:rPr>
        <w:t>Australian Technical Infrastructure Committee</w:t>
      </w:r>
    </w:p>
    <w:p w14:paraId="4B9301A2" w14:textId="2E29941D" w:rsidR="00DF5A71" w:rsidRPr="004F5D92" w:rsidRDefault="00DF5A71" w:rsidP="004F5D92">
      <w:pPr>
        <w:pStyle w:val="BodyTextIndent"/>
      </w:pPr>
      <w:r w:rsidRPr="004F5D92">
        <w:t>ATIC SP43</w:t>
      </w:r>
      <w:r w:rsidRPr="004F5D92">
        <w:tab/>
        <w:t xml:space="preserve"> Section SP43 Cementitious </w:t>
      </w:r>
      <w:r w:rsidR="00AC5C8A">
        <w:t>m</w:t>
      </w:r>
      <w:r w:rsidR="00AC5C8A" w:rsidRPr="004F5D92">
        <w:t xml:space="preserve">aterials </w:t>
      </w:r>
      <w:r w:rsidRPr="004F5D92">
        <w:t xml:space="preserve">for </w:t>
      </w:r>
      <w:r w:rsidR="00AC5C8A">
        <w:t>c</w:t>
      </w:r>
      <w:r w:rsidR="00AC5C8A" w:rsidRPr="004F5D92">
        <w:t>oncrete</w:t>
      </w:r>
    </w:p>
    <w:p w14:paraId="3BA21C84" w14:textId="77777777" w:rsidR="00DF5A71" w:rsidRPr="0043355C" w:rsidRDefault="00DF5A71" w:rsidP="00DF5A71">
      <w:pPr>
        <w:pStyle w:val="BodyTextIndent"/>
        <w:pBdr>
          <w:top w:val="single" w:sz="2" w:space="1" w:color="004259"/>
        </w:pBdr>
        <w:rPr>
          <w:b/>
        </w:rPr>
      </w:pPr>
      <w:r w:rsidRPr="004F5D92">
        <w:rPr>
          <w:b/>
          <w:color w:val="004259"/>
        </w:rPr>
        <w:t xml:space="preserve">ASTM </w:t>
      </w:r>
      <w:r w:rsidRPr="004F5D92">
        <w:rPr>
          <w:b/>
          <w:bCs w:val="0"/>
          <w:color w:val="004259"/>
        </w:rPr>
        <w:t>International</w:t>
      </w:r>
      <w:r w:rsidRPr="004F5D92">
        <w:rPr>
          <w:b/>
          <w:color w:val="004259"/>
        </w:rPr>
        <w:t xml:space="preserve"> </w:t>
      </w:r>
    </w:p>
    <w:p w14:paraId="552CD882" w14:textId="12E2065E" w:rsidR="00DF5A71" w:rsidRPr="004F5D92" w:rsidRDefault="00DF5A71" w:rsidP="004F5D92">
      <w:pPr>
        <w:pStyle w:val="BodyTextIndent"/>
      </w:pPr>
      <w:r w:rsidRPr="004F5D92">
        <w:t xml:space="preserve">ASTM C295 </w:t>
      </w:r>
      <w:r w:rsidRPr="004F5D92">
        <w:tab/>
        <w:t xml:space="preserve">Standard </w:t>
      </w:r>
      <w:r w:rsidR="00AC5C8A">
        <w:t>g</w:t>
      </w:r>
      <w:r w:rsidR="00AC5C8A" w:rsidRPr="004F5D92">
        <w:t xml:space="preserve">uide </w:t>
      </w:r>
      <w:r w:rsidRPr="004F5D92">
        <w:t xml:space="preserve">for </w:t>
      </w:r>
      <w:r w:rsidR="00AC5C8A">
        <w:t>p</w:t>
      </w:r>
      <w:r w:rsidR="00AC5C8A" w:rsidRPr="004F5D92">
        <w:t xml:space="preserve">etrographic </w:t>
      </w:r>
      <w:r w:rsidR="00AC5C8A">
        <w:t>e</w:t>
      </w:r>
      <w:r w:rsidR="00AC5C8A" w:rsidRPr="004F5D92">
        <w:t xml:space="preserve">xamination </w:t>
      </w:r>
      <w:r w:rsidRPr="004F5D92">
        <w:t xml:space="preserve">of </w:t>
      </w:r>
      <w:r w:rsidR="00AC5C8A">
        <w:t>a</w:t>
      </w:r>
      <w:r w:rsidR="00AC5C8A" w:rsidRPr="004F5D92">
        <w:t xml:space="preserve">ggregates </w:t>
      </w:r>
      <w:r w:rsidRPr="004F5D92">
        <w:t xml:space="preserve">for </w:t>
      </w:r>
      <w:r w:rsidR="00AC5C8A">
        <w:t>c</w:t>
      </w:r>
      <w:r w:rsidR="00AC5C8A" w:rsidRPr="004F5D92">
        <w:t>oncrete</w:t>
      </w:r>
    </w:p>
    <w:p w14:paraId="347AC3ED" w14:textId="77777777" w:rsidR="00DF5A71" w:rsidRPr="004F5D92" w:rsidRDefault="00DF5A71" w:rsidP="004F5D92">
      <w:pPr>
        <w:pStyle w:val="BodyTextIndent"/>
      </w:pPr>
      <w:r w:rsidRPr="004F5D92">
        <w:t>ASTM C1202</w:t>
      </w:r>
      <w:r w:rsidRPr="004F5D92">
        <w:tab/>
        <w:t>Rapid chloride penetrability test</w:t>
      </w:r>
    </w:p>
    <w:p w14:paraId="64BB26A0" w14:textId="77777777" w:rsidR="00DF5A71" w:rsidRPr="0043355C" w:rsidRDefault="00DF5A71" w:rsidP="00DF5A71">
      <w:pPr>
        <w:pStyle w:val="BodyTextIndent"/>
        <w:pBdr>
          <w:top w:val="single" w:sz="2" w:space="1" w:color="004259"/>
        </w:pBdr>
        <w:rPr>
          <w:b/>
        </w:rPr>
      </w:pPr>
      <w:r w:rsidRPr="0043355C">
        <w:rPr>
          <w:b/>
          <w:bCs w:val="0"/>
          <w:color w:val="004259"/>
        </w:rPr>
        <w:t>National Transport Commission</w:t>
      </w:r>
      <w:r w:rsidRPr="0043355C">
        <w:rPr>
          <w:b/>
        </w:rPr>
        <w:t xml:space="preserve"> </w:t>
      </w:r>
      <w:r w:rsidRPr="0043355C">
        <w:t xml:space="preserve">(available from: </w:t>
      </w:r>
      <w:hyperlink r:id="rId13" w:history="1">
        <w:r w:rsidRPr="0043355C">
          <w:rPr>
            <w:rStyle w:val="Hyperlink"/>
          </w:rPr>
          <w:t>https://www.ntc.gov.au</w:t>
        </w:r>
      </w:hyperlink>
      <w:r w:rsidRPr="0043355C">
        <w:t>)</w:t>
      </w:r>
    </w:p>
    <w:p w14:paraId="7AC5A58F" w14:textId="77777777" w:rsidR="00DF5A71" w:rsidRPr="004F5D92" w:rsidRDefault="00DF5A71" w:rsidP="004F5D92">
      <w:pPr>
        <w:pStyle w:val="BodyTextIndent"/>
      </w:pPr>
      <w:r w:rsidRPr="004F5D92">
        <w:t>NTC Load Restraint Guide</w:t>
      </w:r>
    </w:p>
    <w:p w14:paraId="516337E0" w14:textId="4E4583B2" w:rsidR="00D32834" w:rsidRPr="003E31BA" w:rsidRDefault="003F7623" w:rsidP="004F5D92">
      <w:pPr>
        <w:pStyle w:val="Heading1"/>
      </w:pPr>
      <w:bookmarkStart w:id="18" w:name="_Toc42767684"/>
      <w:r w:rsidRPr="003E31BA">
        <w:t>Quality System Requirements</w:t>
      </w:r>
      <w:bookmarkEnd w:id="13"/>
      <w:bookmarkEnd w:id="14"/>
      <w:bookmarkEnd w:id="18"/>
    </w:p>
    <w:p w14:paraId="6C04263F" w14:textId="77777777" w:rsidR="006364DC" w:rsidRPr="004F5D92" w:rsidRDefault="006364DC" w:rsidP="004F5D92">
      <w:pPr>
        <w:pStyle w:val="Bodynumbered1"/>
      </w:pPr>
      <w:bookmarkStart w:id="19" w:name="_Ref6305572"/>
      <w:r w:rsidRPr="004F5D92">
        <w:t>The Culvert Components must be manufactured under a quality management system which is independently certified by a JAS/ANZ accredited organisation as fully complying with AS/NZS ISO 9001. Evidence of the certification must be provided prior to the commencement of the supply of Culvert Components to the site.</w:t>
      </w:r>
    </w:p>
    <w:bookmarkEnd w:id="19"/>
    <w:p w14:paraId="763C369F" w14:textId="77777777" w:rsidR="006364DC" w:rsidRPr="004F5D92" w:rsidRDefault="006364DC" w:rsidP="004F5D92">
      <w:pPr>
        <w:pStyle w:val="Bodynumbered1"/>
      </w:pPr>
      <w:r w:rsidRPr="004F5D92">
        <w:t>The Hold Points and Witness Points applicable to this Specification are summarised in Annexure A.</w:t>
      </w:r>
    </w:p>
    <w:tbl>
      <w:tblPr>
        <w:tblStyle w:val="SimpleTable4"/>
        <w:tblW w:w="9781" w:type="dxa"/>
        <w:tblInd w:w="-1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781"/>
      </w:tblGrid>
      <w:tr w:rsidR="006364DC" w:rsidRPr="0043355C" w14:paraId="7AC22750" w14:textId="77777777" w:rsidTr="006364DC">
        <w:trPr>
          <w:cnfStyle w:val="100000000000" w:firstRow="1" w:lastRow="0" w:firstColumn="0" w:lastColumn="0" w:oddVBand="0" w:evenVBand="0" w:oddHBand="0" w:evenHBand="0" w:firstRowFirstColumn="0" w:firstRowLastColumn="0" w:lastRowFirstColumn="0" w:lastRowLastColumn="0"/>
        </w:trPr>
        <w:tc>
          <w:tcPr>
            <w:tcW w:w="9781" w:type="dxa"/>
            <w:shd w:val="clear" w:color="auto" w:fill="D9D9D9"/>
          </w:tcPr>
          <w:p w14:paraId="7F0855CA" w14:textId="77777777" w:rsidR="006364DC" w:rsidRPr="004F5D92" w:rsidRDefault="006364DC" w:rsidP="004F5D92">
            <w:pPr>
              <w:pStyle w:val="BodyText"/>
              <w:rPr>
                <w:b w:val="0"/>
                <w:bCs w:val="0"/>
              </w:rPr>
            </w:pPr>
            <w:r w:rsidRPr="0043355C">
              <w:rPr>
                <w:lang w:val="en-AU"/>
              </w:rPr>
              <w:br w:type="page"/>
            </w:r>
            <w:bookmarkStart w:id="20" w:name="_Hlk4398687"/>
            <w:r w:rsidRPr="004F5D92">
              <w:rPr>
                <w:b w:val="0"/>
                <w:bCs w:val="0"/>
              </w:rPr>
              <w:t>For Culvert Components to be installed in Queensland, the following additional requirements apply:</w:t>
            </w:r>
          </w:p>
          <w:p w14:paraId="7DD0131A" w14:textId="77777777" w:rsidR="006364DC" w:rsidRPr="004F5D92" w:rsidRDefault="006364DC" w:rsidP="004F5D92">
            <w:pPr>
              <w:pStyle w:val="Bodynumbered1"/>
              <w:rPr>
                <w:b w:val="0"/>
                <w:bCs/>
              </w:rPr>
            </w:pPr>
            <w:r w:rsidRPr="004F5D92">
              <w:rPr>
                <w:b w:val="0"/>
                <w:bCs/>
              </w:rPr>
              <w:t>Culvert Components must be manufactured by a Transport and Main Roads registered supplier.</w:t>
            </w:r>
          </w:p>
          <w:p w14:paraId="3279BBDD" w14:textId="6FDFF08F" w:rsidR="006364DC" w:rsidRPr="004F5D92" w:rsidRDefault="006364DC" w:rsidP="004F5D92">
            <w:pPr>
              <w:pStyle w:val="Bodynumbered1"/>
              <w:rPr>
                <w:b w:val="0"/>
                <w:bCs/>
              </w:rPr>
            </w:pPr>
            <w:r w:rsidRPr="004F5D92">
              <w:rPr>
                <w:b w:val="0"/>
                <w:bCs/>
              </w:rPr>
              <w:t>Cementitious materials, aggregates, concrete admixtures, steel reinforcement, bar chairs, curing compounds, cast in lifting anchors, repair grouts/mortars and crack injection epoxies must be a Transport and Main Roads registered product.</w:t>
            </w:r>
          </w:p>
          <w:p w14:paraId="53CD0192" w14:textId="4FCE019A" w:rsidR="006364DC" w:rsidRPr="0043355C" w:rsidRDefault="006364DC" w:rsidP="004F5D92">
            <w:pPr>
              <w:pStyle w:val="Bodynumbered1"/>
            </w:pPr>
            <w:r w:rsidRPr="004F5D92">
              <w:rPr>
                <w:b w:val="0"/>
                <w:bCs/>
              </w:rPr>
              <w:t>Further details are available from:</w:t>
            </w:r>
            <w:r w:rsidR="004F5D92">
              <w:rPr>
                <w:b w:val="0"/>
                <w:bCs/>
              </w:rPr>
              <w:t xml:space="preserve"> </w:t>
            </w:r>
            <w:hyperlink r:id="rId14" w:history="1">
              <w:r w:rsidRPr="00020B79">
                <w:rPr>
                  <w:rStyle w:val="Hyperlink"/>
                  <w:b w:val="0"/>
                  <w:bCs/>
                </w:rPr>
                <w:t>https://www.tmr.qld.gov.au/business-industry/Business-with-us/Approved-products-and-suppliers</w:t>
              </w:r>
            </w:hyperlink>
          </w:p>
        </w:tc>
      </w:tr>
    </w:tbl>
    <w:p w14:paraId="06B7984F" w14:textId="65BC5433" w:rsidR="003F4501" w:rsidRDefault="006364DC" w:rsidP="003E31BA">
      <w:pPr>
        <w:pStyle w:val="Heading1"/>
      </w:pPr>
      <w:bookmarkStart w:id="21" w:name="_Toc42767685"/>
      <w:bookmarkStart w:id="22" w:name="_Toc1138829"/>
      <w:bookmarkStart w:id="23" w:name="_Toc9850016"/>
      <w:bookmarkStart w:id="24" w:name="_Hlk9434043"/>
      <w:bookmarkEnd w:id="20"/>
      <w:r>
        <w:t>General</w:t>
      </w:r>
      <w:bookmarkEnd w:id="21"/>
    </w:p>
    <w:p w14:paraId="7551C215" w14:textId="7D1C8A38" w:rsidR="006364DC" w:rsidRPr="004F5D92" w:rsidRDefault="006364DC" w:rsidP="004F5D92">
      <w:pPr>
        <w:pStyle w:val="Bodynumbered1"/>
      </w:pPr>
      <w:r w:rsidRPr="004F5D92">
        <w:t>Individual Culvert Components must be manufactured square and not skewed. Components must not be cut to shape.</w:t>
      </w:r>
    </w:p>
    <w:p w14:paraId="5C8F91E5" w14:textId="77777777" w:rsidR="006364DC" w:rsidRPr="004F5D92" w:rsidRDefault="006364DC" w:rsidP="004F5D92">
      <w:pPr>
        <w:pStyle w:val="Bodynumbered1"/>
      </w:pPr>
      <w:r w:rsidRPr="004F5D92">
        <w:t>Link slabs must be simply supported on mortar seatings on the top of the culverts. Four bar anchors per 1.2 m long slab section must be provided to locate the assembly. The bar anchors must pass through holes in the link slab and be grouted into holes provided in the legs of the culvert crowns.</w:t>
      </w:r>
    </w:p>
    <w:p w14:paraId="407E1C67" w14:textId="4397C6E2" w:rsidR="003E31BA" w:rsidRDefault="006364DC" w:rsidP="003E31BA">
      <w:pPr>
        <w:pStyle w:val="Heading1"/>
      </w:pPr>
      <w:bookmarkStart w:id="25" w:name="_Toc15450995"/>
      <w:bookmarkStart w:id="26" w:name="_Ref36535652"/>
      <w:bookmarkStart w:id="27" w:name="_Toc41035101"/>
      <w:bookmarkStart w:id="28" w:name="_Toc42767686"/>
      <w:bookmarkStart w:id="29" w:name="_Ref15469889"/>
      <w:bookmarkStart w:id="30" w:name="_Hlk9598492"/>
      <w:r w:rsidRPr="0043355C">
        <w:lastRenderedPageBreak/>
        <w:t>Materials Manufacture and Dimensioning</w:t>
      </w:r>
      <w:bookmarkEnd w:id="25"/>
      <w:bookmarkEnd w:id="26"/>
      <w:bookmarkEnd w:id="27"/>
      <w:bookmarkEnd w:id="28"/>
    </w:p>
    <w:p w14:paraId="785A1C12" w14:textId="77777777" w:rsidR="006364DC" w:rsidRPr="004F5D92" w:rsidRDefault="006364DC" w:rsidP="004F5D92">
      <w:pPr>
        <w:pStyle w:val="Bodynumbered1"/>
      </w:pPr>
      <w:bookmarkStart w:id="31" w:name="_Hlk36533185"/>
      <w:bookmarkStart w:id="32" w:name="_Hlk5980592"/>
      <w:r w:rsidRPr="004F5D92">
        <w:t xml:space="preserve">Further to AS 1597.1, the culverts must be manufactured in accordance with the additional requirements set out in this Clause </w:t>
      </w:r>
      <w:r w:rsidRPr="004F5D92">
        <w:fldChar w:fldCharType="begin"/>
      </w:r>
      <w:r w:rsidRPr="004F5D92">
        <w:instrText xml:space="preserve"> REF _Ref36535652 \r \h  \* MERGEFORMAT </w:instrText>
      </w:r>
      <w:r w:rsidRPr="004F5D92">
        <w:fldChar w:fldCharType="separate"/>
      </w:r>
      <w:r w:rsidRPr="004F5D92">
        <w:t>6</w:t>
      </w:r>
      <w:r w:rsidRPr="004F5D92">
        <w:fldChar w:fldCharType="end"/>
      </w:r>
      <w:r w:rsidRPr="004F5D92">
        <w:t>.</w:t>
      </w:r>
    </w:p>
    <w:p w14:paraId="2DCE7BFF" w14:textId="77777777" w:rsidR="00602A13" w:rsidRDefault="006364DC" w:rsidP="004F5D92">
      <w:pPr>
        <w:pStyle w:val="Heading2"/>
      </w:pPr>
      <w:bookmarkStart w:id="33" w:name="_Toc42767687"/>
      <w:bookmarkEnd w:id="31"/>
      <w:r w:rsidRPr="0043355C">
        <w:t>Reinforcement</w:t>
      </w:r>
      <w:bookmarkEnd w:id="33"/>
      <w:r w:rsidRPr="0043355C">
        <w:t xml:space="preserve"> </w:t>
      </w:r>
      <w:bookmarkStart w:id="34" w:name="_Hlk5895906"/>
    </w:p>
    <w:p w14:paraId="33F3CC29" w14:textId="08BBF5B9" w:rsidR="006364DC" w:rsidRPr="0043355C" w:rsidRDefault="006364DC" w:rsidP="00602A13">
      <w:pPr>
        <w:pStyle w:val="BodyText"/>
      </w:pPr>
      <w:r w:rsidRPr="0043355C">
        <w:t>(Refer AS 1597.1 Clause 2.3)</w:t>
      </w:r>
      <w:bookmarkEnd w:id="34"/>
    </w:p>
    <w:p w14:paraId="2AEC10D8" w14:textId="77777777" w:rsidR="006364DC" w:rsidRPr="004F5D92" w:rsidRDefault="006364DC" w:rsidP="004F5D92">
      <w:pPr>
        <w:pStyle w:val="Bodynumbered1"/>
      </w:pPr>
      <w:bookmarkStart w:id="35" w:name="_Ref36816524"/>
      <w:bookmarkEnd w:id="32"/>
      <w:r w:rsidRPr="004F5D92">
        <w:t>Steel reinforcement used in the manufacture of Culvert Components must comply with Austroads Technical Specification ATS 5210.</w:t>
      </w:r>
      <w:bookmarkEnd w:id="35"/>
    </w:p>
    <w:p w14:paraId="3D4F010A" w14:textId="77777777" w:rsidR="006364DC" w:rsidRPr="004F5D92" w:rsidRDefault="006364DC" w:rsidP="004F5D92">
      <w:pPr>
        <w:pStyle w:val="Bodynumbered1"/>
      </w:pPr>
      <w:bookmarkStart w:id="36" w:name="_Ref36816578"/>
      <w:r w:rsidRPr="004F5D92">
        <w:t>Reinforcement must be placed within a tolerance of ± 5 mm.</w:t>
      </w:r>
      <w:bookmarkEnd w:id="36"/>
    </w:p>
    <w:p w14:paraId="1AE7BCEB" w14:textId="77777777" w:rsidR="006364DC" w:rsidRPr="004F5D92" w:rsidRDefault="006364DC" w:rsidP="004F5D92">
      <w:pPr>
        <w:pStyle w:val="Bodynumbered1"/>
      </w:pPr>
      <w:r w:rsidRPr="004F5D92">
        <w:t>The placing of the reinforcement must be such as not to interfere with the location of lifting holes, lifting anchors, dowel bars or any other cast in items. The reinforcement may be displaced locally to obtain the required cover to these items.</w:t>
      </w:r>
    </w:p>
    <w:p w14:paraId="7201E61A" w14:textId="77777777" w:rsidR="004F5D92" w:rsidRDefault="006364DC" w:rsidP="00AC5C8A">
      <w:pPr>
        <w:pStyle w:val="Bodynumbered1"/>
      </w:pPr>
      <w:r w:rsidRPr="004F5D92">
        <w:t>Bar chairs and spacers must comply with ATS 5210. For Exposure Classification C2 and box culverts placed in saltwater, the bar chairs or spacers must be stainless steel or concrete.</w:t>
      </w:r>
      <w:bookmarkStart w:id="37" w:name="_Hlk5982372"/>
    </w:p>
    <w:p w14:paraId="4C8E4362" w14:textId="140E6F89" w:rsidR="00602A13" w:rsidRDefault="004E6471" w:rsidP="00602A13">
      <w:pPr>
        <w:pStyle w:val="Heading2"/>
      </w:pPr>
      <w:bookmarkStart w:id="38" w:name="_Toc42767688"/>
      <w:r>
        <w:t xml:space="preserve">Cement and </w:t>
      </w:r>
      <w:r w:rsidRPr="0043355C">
        <w:t xml:space="preserve">Supplementary </w:t>
      </w:r>
      <w:r w:rsidR="00020B79">
        <w:t>C</w:t>
      </w:r>
      <w:r w:rsidRPr="0043355C">
        <w:t xml:space="preserve">ementitious </w:t>
      </w:r>
      <w:r w:rsidR="00020B79">
        <w:t>M</w:t>
      </w:r>
      <w:r w:rsidRPr="0043355C">
        <w:t>aterials</w:t>
      </w:r>
      <w:bookmarkEnd w:id="38"/>
      <w:r w:rsidRPr="0043355C">
        <w:t xml:space="preserve"> </w:t>
      </w:r>
    </w:p>
    <w:p w14:paraId="1468B97A" w14:textId="6884DFE5" w:rsidR="006364DC" w:rsidRPr="00602A13" w:rsidRDefault="004E6471" w:rsidP="00602A13">
      <w:pPr>
        <w:pStyle w:val="BodyText"/>
        <w:rPr>
          <w:rStyle w:val="BodyTextChar"/>
        </w:rPr>
      </w:pPr>
      <w:r w:rsidRPr="004E6471">
        <w:t>(Refer AS 1597.1 Clauses 2.4.1 &amp; 2.4.2)</w:t>
      </w:r>
    </w:p>
    <w:tbl>
      <w:tblPr>
        <w:tblStyle w:val="SimpleTable41"/>
        <w:tblW w:w="0" w:type="auto"/>
        <w:tblInd w:w="-1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498"/>
      </w:tblGrid>
      <w:tr w:rsidR="006364DC" w:rsidRPr="0043355C" w14:paraId="017938FB" w14:textId="77777777" w:rsidTr="006364DC">
        <w:trPr>
          <w:cnfStyle w:val="100000000000" w:firstRow="1" w:lastRow="0" w:firstColumn="0" w:lastColumn="0" w:oddVBand="0" w:evenVBand="0" w:oddHBand="0" w:evenHBand="0" w:firstRowFirstColumn="0" w:firstRowLastColumn="0" w:lastRowFirstColumn="0" w:lastRowLastColumn="0"/>
        </w:trPr>
        <w:tc>
          <w:tcPr>
            <w:tcW w:w="9498" w:type="dxa"/>
            <w:shd w:val="clear" w:color="auto" w:fill="D9D9D9"/>
          </w:tcPr>
          <w:p w14:paraId="10A04568" w14:textId="77777777" w:rsidR="006364DC" w:rsidRPr="004E6471" w:rsidRDefault="006364DC" w:rsidP="004E6471">
            <w:pPr>
              <w:pStyle w:val="BodyText"/>
              <w:rPr>
                <w:b w:val="0"/>
                <w:bCs w:val="0"/>
              </w:rPr>
            </w:pPr>
            <w:r w:rsidRPr="004E6471">
              <w:rPr>
                <w:b w:val="0"/>
                <w:bCs w:val="0"/>
              </w:rPr>
              <w:t>For Culvert Components to be installed in Queensland, the following applies:</w:t>
            </w:r>
          </w:p>
          <w:p w14:paraId="6F935037" w14:textId="77777777" w:rsidR="006364DC" w:rsidRPr="004E6471" w:rsidRDefault="006364DC" w:rsidP="004E6471">
            <w:pPr>
              <w:pStyle w:val="Bodynumbered1"/>
              <w:rPr>
                <w:b w:val="0"/>
                <w:bCs/>
              </w:rPr>
            </w:pPr>
            <w:r w:rsidRPr="004E6471">
              <w:rPr>
                <w:b w:val="0"/>
                <w:bCs/>
              </w:rPr>
              <w:t xml:space="preserve">A cementitious blend which complies with Table </w:t>
            </w:r>
            <w:r w:rsidRPr="004E6471">
              <w:rPr>
                <w:bCs/>
              </w:rPr>
              <w:fldChar w:fldCharType="begin"/>
            </w:r>
            <w:r w:rsidRPr="004E6471">
              <w:rPr>
                <w:b w:val="0"/>
                <w:bCs/>
              </w:rPr>
              <w:instrText xml:space="preserve"> REF _Ref8043724 \r \h  \* MERGEFORMAT </w:instrText>
            </w:r>
            <w:r w:rsidRPr="004E6471">
              <w:rPr>
                <w:bCs/>
              </w:rPr>
            </w:r>
            <w:r w:rsidRPr="004E6471">
              <w:rPr>
                <w:bCs/>
              </w:rPr>
              <w:fldChar w:fldCharType="separate"/>
            </w:r>
            <w:r w:rsidRPr="004E6471">
              <w:rPr>
                <w:b w:val="0"/>
                <w:bCs/>
              </w:rPr>
              <w:t>6.9</w:t>
            </w:r>
            <w:r w:rsidRPr="004E6471">
              <w:rPr>
                <w:bCs/>
              </w:rPr>
              <w:fldChar w:fldCharType="end"/>
            </w:r>
            <w:r w:rsidRPr="004E6471">
              <w:rPr>
                <w:b w:val="0"/>
                <w:bCs/>
              </w:rPr>
              <w:t xml:space="preserve"> must be used.</w:t>
            </w:r>
          </w:p>
        </w:tc>
      </w:tr>
    </w:tbl>
    <w:p w14:paraId="228BB759" w14:textId="77777777" w:rsidR="006364DC" w:rsidRPr="004E6471" w:rsidRDefault="006364DC" w:rsidP="004E6471">
      <w:pPr>
        <w:pStyle w:val="Bodynumbered1"/>
      </w:pPr>
      <w:r w:rsidRPr="004E6471">
        <w:t>The cementitious material used in the manufacture of the Culvert Components may be up to 100% GP Cement only if:</w:t>
      </w:r>
    </w:p>
    <w:p w14:paraId="650593B8" w14:textId="77777777" w:rsidR="006364DC" w:rsidRPr="004E6471" w:rsidRDefault="006364DC" w:rsidP="008E2BFD">
      <w:pPr>
        <w:pStyle w:val="Bodynumbered2"/>
        <w:numPr>
          <w:ilvl w:val="0"/>
          <w:numId w:val="22"/>
        </w:numPr>
      </w:pPr>
      <w:r w:rsidRPr="004E6471">
        <w:t>the Culvert Components are to be installed in a B1 Exposure classification (as defined in AS 5100); and</w:t>
      </w:r>
    </w:p>
    <w:p w14:paraId="2200DCA4" w14:textId="526DBE30" w:rsidR="006364DC" w:rsidRPr="004E6471" w:rsidRDefault="008E2BFD" w:rsidP="008E2BFD">
      <w:pPr>
        <w:pStyle w:val="Bodynumbered2"/>
        <w:numPr>
          <w:ilvl w:val="0"/>
          <w:numId w:val="0"/>
        </w:numPr>
        <w:ind w:left="924" w:hanging="357"/>
      </w:pPr>
      <w:r>
        <w:t>b)</w:t>
      </w:r>
      <w:r>
        <w:tab/>
      </w:r>
      <w:r w:rsidR="006364DC" w:rsidRPr="004E6471">
        <w:t>the aggregates are classified as non-reactive when assessed in accordance with the following process:</w:t>
      </w:r>
    </w:p>
    <w:p w14:paraId="161D32D5" w14:textId="77777777" w:rsidR="006364DC" w:rsidRPr="004E6471" w:rsidRDefault="006364DC" w:rsidP="004E6471">
      <w:pPr>
        <w:pStyle w:val="Bodynumbered3"/>
      </w:pPr>
      <w:r w:rsidRPr="004E6471">
        <w:t>The aggregates are assessed for any unstable silica minerals by petrographic examination in accordance with ASTM Test Method C295.</w:t>
      </w:r>
    </w:p>
    <w:p w14:paraId="7933D225" w14:textId="77777777" w:rsidR="006364DC" w:rsidRPr="0043355C" w:rsidRDefault="006364DC" w:rsidP="004E6471">
      <w:pPr>
        <w:pStyle w:val="Bodynumbered3"/>
      </w:pPr>
      <w:r w:rsidRPr="004E6471">
        <w:t>The potential alkali silica reactivity of all aggregates is determined using either AGBT T710 – 19: Accelerated Mortar Bar Test - Alkali-Silica Reactivity of Aggregate or AGBT T701 – 19: Alkali Aggregate Reactivity Assessment - Concrete Prism Test.</w:t>
      </w:r>
    </w:p>
    <w:p w14:paraId="5411BB31" w14:textId="6BEDC791" w:rsidR="006364DC" w:rsidRPr="004E6471" w:rsidRDefault="006364DC" w:rsidP="004E6471">
      <w:pPr>
        <w:pStyle w:val="Bodynumbered1"/>
      </w:pPr>
      <w:r w:rsidRPr="004E6471">
        <w:t xml:space="preserve">Aggregates which are classified as reactive may only be used if a cementitious blend in accordance with Table </w:t>
      </w:r>
      <w:r w:rsidRPr="004E6471">
        <w:fldChar w:fldCharType="begin"/>
      </w:r>
      <w:r w:rsidRPr="004E6471">
        <w:instrText xml:space="preserve"> REF _Ref8043724 \r \h  \* MERGEFORMAT </w:instrText>
      </w:r>
      <w:r w:rsidRPr="004E6471">
        <w:fldChar w:fldCharType="separate"/>
      </w:r>
      <w:r w:rsidRPr="004E6471">
        <w:t>6.9</w:t>
      </w:r>
      <w:r w:rsidRPr="004E6471">
        <w:fldChar w:fldCharType="end"/>
      </w:r>
      <w:r w:rsidRPr="004E6471">
        <w:t xml:space="preserve"> is used.</w:t>
      </w:r>
      <w:r w:rsidR="00E65F89">
        <w:t xml:space="preserve"> </w:t>
      </w:r>
    </w:p>
    <w:p w14:paraId="47473A6A" w14:textId="57890F4C" w:rsidR="006364DC" w:rsidRDefault="006364DC" w:rsidP="004E6471">
      <w:pPr>
        <w:pStyle w:val="Bodynumbered1"/>
      </w:pPr>
      <w:bookmarkStart w:id="39" w:name="_Ref8043724"/>
      <w:r w:rsidRPr="004E6471">
        <w:t>For an Exposure classification which is more severe than B1</w:t>
      </w:r>
      <w:bookmarkStart w:id="40" w:name="_Ref7601357"/>
      <w:r w:rsidRPr="004E6471">
        <w:t xml:space="preserve"> or where a cementitious blend for control of alkali silica reaction is required, the cementitious materials must comply with the criteria specified</w:t>
      </w:r>
      <w:r w:rsidR="008E2BFD">
        <w:t xml:space="preserve"> in</w:t>
      </w:r>
      <w:r w:rsidRPr="004E6471">
        <w:t xml:space="preserve"> Table </w:t>
      </w:r>
      <w:r w:rsidRPr="004E6471">
        <w:fldChar w:fldCharType="begin"/>
      </w:r>
      <w:r w:rsidRPr="004E6471">
        <w:instrText xml:space="preserve"> REF _Ref8043724 \r \h  \* MERGEFORMAT </w:instrText>
      </w:r>
      <w:r w:rsidRPr="004E6471">
        <w:fldChar w:fldCharType="separate"/>
      </w:r>
      <w:r w:rsidRPr="004E6471">
        <w:t>6.9</w:t>
      </w:r>
      <w:r w:rsidRPr="004E6471">
        <w:fldChar w:fldCharType="end"/>
      </w:r>
      <w:r w:rsidRPr="004E6471">
        <w:t xml:space="preserve"> in with the combined total adding to 100%</w:t>
      </w:r>
      <w:bookmarkEnd w:id="39"/>
      <w:bookmarkEnd w:id="40"/>
      <w:r w:rsidRPr="004E6471">
        <w:t xml:space="preserve">. The tolerances in Clause 4.2 of AS 1379 apply to Table </w:t>
      </w:r>
      <w:r w:rsidRPr="004E6471">
        <w:fldChar w:fldCharType="begin"/>
      </w:r>
      <w:r w:rsidRPr="004E6471">
        <w:instrText xml:space="preserve"> REF _Ref8043724 \r \h  \* MERGEFORMAT </w:instrText>
      </w:r>
      <w:r w:rsidRPr="004E6471">
        <w:fldChar w:fldCharType="separate"/>
      </w:r>
      <w:r w:rsidRPr="004E6471">
        <w:t>6.9</w:t>
      </w:r>
      <w:r w:rsidRPr="004E6471">
        <w:fldChar w:fldCharType="end"/>
      </w:r>
      <w:r w:rsidRPr="004E6471">
        <w:t>.</w:t>
      </w:r>
    </w:p>
    <w:p w14:paraId="401CA968" w14:textId="269BC99C" w:rsidR="00F80178" w:rsidRPr="004E6471" w:rsidRDefault="00F80178" w:rsidP="00F01DA6">
      <w:pPr>
        <w:pStyle w:val="Caption"/>
        <w:pageBreakBefore/>
      </w:pPr>
      <w:r w:rsidRPr="004E6471">
        <w:lastRenderedPageBreak/>
        <w:t xml:space="preserve">Table </w:t>
      </w:r>
      <w:r w:rsidRPr="004E6471">
        <w:fldChar w:fldCharType="begin"/>
      </w:r>
      <w:r w:rsidRPr="004E6471">
        <w:instrText xml:space="preserve"> REF _Ref8043724 \r \h  \* MERGEFORMAT </w:instrText>
      </w:r>
      <w:r w:rsidRPr="004E6471">
        <w:fldChar w:fldCharType="separate"/>
      </w:r>
      <w:r w:rsidRPr="004E6471">
        <w:t>6.9</w:t>
      </w:r>
      <w:r w:rsidRPr="004E6471">
        <w:fldChar w:fldCharType="end"/>
      </w:r>
      <w:r>
        <w:t>:</w:t>
      </w:r>
      <w:r w:rsidRPr="004E6471">
        <w:t xml:space="preserve"> Cementitious </w:t>
      </w:r>
      <w:r>
        <w:t>m</w:t>
      </w:r>
      <w:r w:rsidRPr="004E6471">
        <w:t xml:space="preserve">aterials </w:t>
      </w:r>
      <w:r>
        <w:t>c</w:t>
      </w:r>
      <w:r w:rsidRPr="004E6471">
        <w:t>ontent</w:t>
      </w:r>
    </w:p>
    <w:tbl>
      <w:tblPr>
        <w:tblStyle w:val="SimpleTable7"/>
        <w:tblW w:w="0" w:type="auto"/>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CellMar>
          <w:left w:w="113" w:type="dxa"/>
          <w:right w:w="28" w:type="dxa"/>
        </w:tblCellMar>
        <w:tblLook w:val="04A0" w:firstRow="1" w:lastRow="0" w:firstColumn="1" w:lastColumn="0" w:noHBand="0" w:noVBand="1"/>
      </w:tblPr>
      <w:tblGrid>
        <w:gridCol w:w="1731"/>
        <w:gridCol w:w="1731"/>
        <w:gridCol w:w="1731"/>
        <w:gridCol w:w="2320"/>
        <w:gridCol w:w="1418"/>
      </w:tblGrid>
      <w:tr w:rsidR="004E6471" w:rsidRPr="004E6471" w14:paraId="37297605" w14:textId="77777777" w:rsidTr="00F01DA6">
        <w:tc>
          <w:tcPr>
            <w:tcW w:w="1731" w:type="dxa"/>
            <w:shd w:val="clear" w:color="auto" w:fill="BFBFBF" w:themeFill="background1" w:themeFillShade="BF"/>
            <w:vAlign w:val="center"/>
          </w:tcPr>
          <w:p w14:paraId="51C8C48E" w14:textId="4330AE5A" w:rsidR="006364DC" w:rsidRPr="004E6471" w:rsidRDefault="006364DC" w:rsidP="00F01DA6">
            <w:pPr>
              <w:pStyle w:val="TableHeading"/>
              <w:rPr>
                <w:b w:val="0"/>
                <w:bCs/>
                <w:color w:val="000000" w:themeColor="text1"/>
                <w:lang w:val="en-AU"/>
              </w:rPr>
            </w:pPr>
            <w:bookmarkStart w:id="41" w:name="_Hlk13748244"/>
            <w:r w:rsidRPr="004E6471">
              <w:rPr>
                <w:bCs/>
                <w:color w:val="000000" w:themeColor="text1"/>
              </w:rPr>
              <w:t>Blend</w:t>
            </w:r>
            <w:r w:rsidRPr="004E6471">
              <w:rPr>
                <w:bCs/>
                <w:color w:val="000000" w:themeColor="text1"/>
                <w:lang w:val="en-AU"/>
              </w:rPr>
              <w:t xml:space="preserve"> </w:t>
            </w:r>
            <w:r w:rsidR="00F6785D">
              <w:rPr>
                <w:bCs/>
                <w:color w:val="000000" w:themeColor="text1"/>
                <w:lang w:val="en-AU"/>
              </w:rPr>
              <w:t>n</w:t>
            </w:r>
            <w:r w:rsidRPr="004E6471">
              <w:rPr>
                <w:bCs/>
                <w:color w:val="000000" w:themeColor="text1"/>
                <w:lang w:val="en-AU"/>
              </w:rPr>
              <w:t>o.</w:t>
            </w:r>
          </w:p>
        </w:tc>
        <w:tc>
          <w:tcPr>
            <w:tcW w:w="1731" w:type="dxa"/>
            <w:shd w:val="clear" w:color="auto" w:fill="BFBFBF" w:themeFill="background1" w:themeFillShade="BF"/>
            <w:vAlign w:val="center"/>
          </w:tcPr>
          <w:p w14:paraId="1E295786" w14:textId="1CF4DDD6" w:rsidR="006364DC" w:rsidRPr="004E6471" w:rsidRDefault="006364DC" w:rsidP="00F01DA6">
            <w:pPr>
              <w:pStyle w:val="TableHeading"/>
              <w:rPr>
                <w:b w:val="0"/>
                <w:bCs/>
                <w:color w:val="000000" w:themeColor="text1"/>
              </w:rPr>
            </w:pPr>
            <w:r w:rsidRPr="004E6471">
              <w:rPr>
                <w:bCs/>
                <w:color w:val="000000" w:themeColor="text1"/>
              </w:rPr>
              <w:t xml:space="preserve">GP </w:t>
            </w:r>
            <w:r w:rsidR="00F6785D">
              <w:rPr>
                <w:bCs/>
                <w:color w:val="000000" w:themeColor="text1"/>
              </w:rPr>
              <w:t>c</w:t>
            </w:r>
            <w:r w:rsidRPr="004E6471">
              <w:rPr>
                <w:bCs/>
                <w:color w:val="000000" w:themeColor="text1"/>
              </w:rPr>
              <w:t>ement</w:t>
            </w:r>
            <w:r w:rsidR="00F6785D" w:rsidRPr="004E6471">
              <w:rPr>
                <w:bCs/>
                <w:color w:val="000000" w:themeColor="text1"/>
              </w:rPr>
              <w:t xml:space="preserve"> </w:t>
            </w:r>
            <w:r w:rsidRPr="004E6471">
              <w:rPr>
                <w:bCs/>
                <w:color w:val="000000" w:themeColor="text1"/>
              </w:rPr>
              <w:t>(%)</w:t>
            </w:r>
          </w:p>
        </w:tc>
        <w:tc>
          <w:tcPr>
            <w:tcW w:w="1731" w:type="dxa"/>
            <w:shd w:val="clear" w:color="auto" w:fill="BFBFBF" w:themeFill="background1" w:themeFillShade="BF"/>
            <w:vAlign w:val="center"/>
          </w:tcPr>
          <w:p w14:paraId="330F84A6" w14:textId="723B5C21" w:rsidR="006364DC" w:rsidRPr="004E6471" w:rsidRDefault="006364DC" w:rsidP="00F01DA6">
            <w:pPr>
              <w:pStyle w:val="TableHeading"/>
              <w:rPr>
                <w:b w:val="0"/>
                <w:bCs/>
                <w:color w:val="000000" w:themeColor="text1"/>
              </w:rPr>
            </w:pPr>
            <w:r w:rsidRPr="004E6471">
              <w:rPr>
                <w:bCs/>
                <w:color w:val="000000" w:themeColor="text1"/>
              </w:rPr>
              <w:t xml:space="preserve">Fly </w:t>
            </w:r>
            <w:r w:rsidR="00F6785D">
              <w:rPr>
                <w:bCs/>
                <w:color w:val="000000" w:themeColor="text1"/>
              </w:rPr>
              <w:t>a</w:t>
            </w:r>
            <w:r w:rsidRPr="004E6471">
              <w:rPr>
                <w:bCs/>
                <w:color w:val="000000" w:themeColor="text1"/>
              </w:rPr>
              <w:t>sh</w:t>
            </w:r>
            <w:r w:rsidR="00F6785D" w:rsidRPr="004E6471">
              <w:rPr>
                <w:bCs/>
                <w:color w:val="000000" w:themeColor="text1"/>
              </w:rPr>
              <w:t xml:space="preserve"> </w:t>
            </w:r>
            <w:r w:rsidRPr="004E6471">
              <w:rPr>
                <w:bCs/>
                <w:color w:val="000000" w:themeColor="text1"/>
              </w:rPr>
              <w:t>(%)</w:t>
            </w:r>
          </w:p>
        </w:tc>
        <w:tc>
          <w:tcPr>
            <w:tcW w:w="2320" w:type="dxa"/>
            <w:shd w:val="clear" w:color="auto" w:fill="BFBFBF" w:themeFill="background1" w:themeFillShade="BF"/>
            <w:vAlign w:val="center"/>
          </w:tcPr>
          <w:p w14:paraId="7560AD64" w14:textId="530D480B" w:rsidR="006364DC" w:rsidRPr="004E6471" w:rsidRDefault="006364DC" w:rsidP="00F01DA6">
            <w:pPr>
              <w:pStyle w:val="TableHeading"/>
              <w:rPr>
                <w:b w:val="0"/>
                <w:bCs/>
                <w:color w:val="000000" w:themeColor="text1"/>
              </w:rPr>
            </w:pPr>
            <w:r w:rsidRPr="004E6471">
              <w:rPr>
                <w:bCs/>
                <w:color w:val="000000" w:themeColor="text1"/>
              </w:rPr>
              <w:t xml:space="preserve">Ground </w:t>
            </w:r>
            <w:r w:rsidR="00F6785D">
              <w:rPr>
                <w:bCs/>
                <w:color w:val="000000" w:themeColor="text1"/>
              </w:rPr>
              <w:t>g</w:t>
            </w:r>
            <w:r w:rsidRPr="004E6471">
              <w:rPr>
                <w:bCs/>
                <w:color w:val="000000" w:themeColor="text1"/>
              </w:rPr>
              <w:t xml:space="preserve">ranulated </w:t>
            </w:r>
            <w:r w:rsidR="00F6785D">
              <w:rPr>
                <w:bCs/>
                <w:color w:val="000000" w:themeColor="text1"/>
              </w:rPr>
              <w:t>b</w:t>
            </w:r>
            <w:r w:rsidRPr="004E6471">
              <w:rPr>
                <w:bCs/>
                <w:color w:val="000000" w:themeColor="text1"/>
              </w:rPr>
              <w:t xml:space="preserve">last </w:t>
            </w:r>
            <w:r w:rsidR="00F6785D">
              <w:rPr>
                <w:bCs/>
                <w:color w:val="000000" w:themeColor="text1"/>
              </w:rPr>
              <w:t>f</w:t>
            </w:r>
            <w:r w:rsidRPr="004E6471">
              <w:rPr>
                <w:bCs/>
                <w:color w:val="000000" w:themeColor="text1"/>
              </w:rPr>
              <w:t xml:space="preserve">urnace </w:t>
            </w:r>
            <w:r w:rsidR="00F6785D">
              <w:rPr>
                <w:bCs/>
                <w:color w:val="000000" w:themeColor="text1"/>
              </w:rPr>
              <w:t>s</w:t>
            </w:r>
            <w:r w:rsidRPr="004E6471">
              <w:rPr>
                <w:bCs/>
                <w:color w:val="000000" w:themeColor="text1"/>
              </w:rPr>
              <w:t>lag (%)</w:t>
            </w:r>
          </w:p>
        </w:tc>
        <w:tc>
          <w:tcPr>
            <w:tcW w:w="1418" w:type="dxa"/>
            <w:shd w:val="clear" w:color="auto" w:fill="BFBFBF" w:themeFill="background1" w:themeFillShade="BF"/>
            <w:vAlign w:val="center"/>
          </w:tcPr>
          <w:p w14:paraId="18E8D469" w14:textId="003265E6" w:rsidR="006364DC" w:rsidRPr="004E6471" w:rsidRDefault="006364DC" w:rsidP="00F01DA6">
            <w:pPr>
              <w:pStyle w:val="TableHeading"/>
              <w:rPr>
                <w:b w:val="0"/>
                <w:bCs/>
                <w:color w:val="000000" w:themeColor="text1"/>
              </w:rPr>
            </w:pPr>
            <w:r w:rsidRPr="004E6471">
              <w:rPr>
                <w:bCs/>
                <w:color w:val="000000" w:themeColor="text1"/>
              </w:rPr>
              <w:t xml:space="preserve">Amorphous </w:t>
            </w:r>
            <w:r w:rsidR="00F6785D">
              <w:rPr>
                <w:bCs/>
                <w:color w:val="000000" w:themeColor="text1"/>
              </w:rPr>
              <w:t>s</w:t>
            </w:r>
            <w:r w:rsidRPr="004E6471">
              <w:rPr>
                <w:bCs/>
                <w:color w:val="000000" w:themeColor="text1"/>
              </w:rPr>
              <w:t>ilica</w:t>
            </w:r>
            <w:r w:rsidR="00F6785D" w:rsidRPr="004E6471">
              <w:rPr>
                <w:bCs/>
                <w:color w:val="000000" w:themeColor="text1"/>
              </w:rPr>
              <w:t xml:space="preserve"> </w:t>
            </w:r>
            <w:r w:rsidRPr="004E6471">
              <w:rPr>
                <w:bCs/>
                <w:color w:val="000000" w:themeColor="text1"/>
              </w:rPr>
              <w:t>(%)</w:t>
            </w:r>
          </w:p>
        </w:tc>
      </w:tr>
      <w:tr w:rsidR="006364DC" w:rsidRPr="0043355C" w14:paraId="65066796" w14:textId="77777777" w:rsidTr="00F01DA6">
        <w:tc>
          <w:tcPr>
            <w:tcW w:w="1731" w:type="dxa"/>
            <w:shd w:val="clear" w:color="auto" w:fill="D9D9D9" w:themeFill="background1" w:themeFillShade="D9"/>
          </w:tcPr>
          <w:p w14:paraId="4CA1684B" w14:textId="61D918F4" w:rsidR="006364DC" w:rsidRPr="004E6471" w:rsidRDefault="006364DC" w:rsidP="004E6471">
            <w:pPr>
              <w:pStyle w:val="TableBodyText"/>
            </w:pPr>
            <w:r w:rsidRPr="004E6471">
              <w:t>1</w:t>
            </w:r>
            <w:r w:rsidR="004E6471" w:rsidRPr="004E6471">
              <w:rPr>
                <w:vertAlign w:val="superscript"/>
              </w:rPr>
              <w:t>1</w:t>
            </w:r>
          </w:p>
        </w:tc>
        <w:tc>
          <w:tcPr>
            <w:tcW w:w="1731" w:type="dxa"/>
            <w:shd w:val="clear" w:color="auto" w:fill="D9D9D9" w:themeFill="background1" w:themeFillShade="D9"/>
          </w:tcPr>
          <w:p w14:paraId="672AF436" w14:textId="77777777" w:rsidR="006364DC" w:rsidRPr="004E6471" w:rsidRDefault="006364DC" w:rsidP="004E6471">
            <w:pPr>
              <w:pStyle w:val="TableBodyText"/>
            </w:pPr>
            <w:r w:rsidRPr="004E6471">
              <w:t>65 to 75</w:t>
            </w:r>
          </w:p>
        </w:tc>
        <w:tc>
          <w:tcPr>
            <w:tcW w:w="1731" w:type="dxa"/>
            <w:shd w:val="clear" w:color="auto" w:fill="D9D9D9" w:themeFill="background1" w:themeFillShade="D9"/>
          </w:tcPr>
          <w:p w14:paraId="75E7BC31" w14:textId="77777777" w:rsidR="006364DC" w:rsidRPr="004E6471" w:rsidRDefault="006364DC" w:rsidP="004E6471">
            <w:pPr>
              <w:pStyle w:val="TableBodyText"/>
            </w:pPr>
            <w:r w:rsidRPr="004E6471">
              <w:t>25 to 35</w:t>
            </w:r>
          </w:p>
        </w:tc>
        <w:tc>
          <w:tcPr>
            <w:tcW w:w="2320" w:type="dxa"/>
            <w:shd w:val="clear" w:color="auto" w:fill="D9D9D9" w:themeFill="background1" w:themeFillShade="D9"/>
          </w:tcPr>
          <w:p w14:paraId="562B9850" w14:textId="77777777" w:rsidR="006364DC" w:rsidRPr="004E6471" w:rsidRDefault="006364DC" w:rsidP="004E6471">
            <w:pPr>
              <w:pStyle w:val="TableBodyText"/>
            </w:pPr>
          </w:p>
        </w:tc>
        <w:tc>
          <w:tcPr>
            <w:tcW w:w="1418" w:type="dxa"/>
            <w:shd w:val="clear" w:color="auto" w:fill="D9D9D9" w:themeFill="background1" w:themeFillShade="D9"/>
          </w:tcPr>
          <w:p w14:paraId="617F2048" w14:textId="77777777" w:rsidR="006364DC" w:rsidRPr="004E6471" w:rsidRDefault="006364DC" w:rsidP="004E6471">
            <w:pPr>
              <w:pStyle w:val="TableBodyText"/>
            </w:pPr>
          </w:p>
        </w:tc>
      </w:tr>
      <w:tr w:rsidR="006364DC" w:rsidRPr="0043355C" w14:paraId="07AA6585" w14:textId="77777777" w:rsidTr="00F01DA6">
        <w:tc>
          <w:tcPr>
            <w:tcW w:w="1731" w:type="dxa"/>
            <w:shd w:val="clear" w:color="auto" w:fill="D9D9D9" w:themeFill="background1" w:themeFillShade="D9"/>
          </w:tcPr>
          <w:p w14:paraId="41C0C1E1" w14:textId="77777777" w:rsidR="006364DC" w:rsidRPr="004E6471" w:rsidRDefault="006364DC" w:rsidP="004E6471">
            <w:pPr>
              <w:pStyle w:val="TableBodyText"/>
            </w:pPr>
            <w:r w:rsidRPr="004E6471">
              <w:t>2</w:t>
            </w:r>
          </w:p>
        </w:tc>
        <w:tc>
          <w:tcPr>
            <w:tcW w:w="1731" w:type="dxa"/>
            <w:shd w:val="clear" w:color="auto" w:fill="D9D9D9" w:themeFill="background1" w:themeFillShade="D9"/>
          </w:tcPr>
          <w:p w14:paraId="1ADAAD28" w14:textId="77777777" w:rsidR="006364DC" w:rsidRPr="004E6471" w:rsidRDefault="006364DC" w:rsidP="004E6471">
            <w:pPr>
              <w:pStyle w:val="TableBodyText"/>
            </w:pPr>
            <w:r w:rsidRPr="004E6471">
              <w:t>50 to 55</w:t>
            </w:r>
          </w:p>
        </w:tc>
        <w:tc>
          <w:tcPr>
            <w:tcW w:w="1731" w:type="dxa"/>
            <w:shd w:val="clear" w:color="auto" w:fill="D9D9D9" w:themeFill="background1" w:themeFillShade="D9"/>
          </w:tcPr>
          <w:p w14:paraId="523197E5" w14:textId="77777777" w:rsidR="006364DC" w:rsidRPr="004E6471" w:rsidRDefault="006364DC" w:rsidP="004E6471">
            <w:pPr>
              <w:pStyle w:val="TableBodyText"/>
            </w:pPr>
            <w:r w:rsidRPr="004E6471">
              <w:t>25 to 30</w:t>
            </w:r>
          </w:p>
        </w:tc>
        <w:tc>
          <w:tcPr>
            <w:tcW w:w="2320" w:type="dxa"/>
            <w:shd w:val="clear" w:color="auto" w:fill="D9D9D9" w:themeFill="background1" w:themeFillShade="D9"/>
          </w:tcPr>
          <w:p w14:paraId="539D0727" w14:textId="77777777" w:rsidR="006364DC" w:rsidRPr="004E6471" w:rsidRDefault="006364DC" w:rsidP="004E6471">
            <w:pPr>
              <w:pStyle w:val="TableBodyText"/>
            </w:pPr>
            <w:r w:rsidRPr="004E6471">
              <w:t>20 to 25</w:t>
            </w:r>
          </w:p>
        </w:tc>
        <w:tc>
          <w:tcPr>
            <w:tcW w:w="1418" w:type="dxa"/>
            <w:shd w:val="clear" w:color="auto" w:fill="D9D9D9" w:themeFill="background1" w:themeFillShade="D9"/>
          </w:tcPr>
          <w:p w14:paraId="4A2850A3" w14:textId="77777777" w:rsidR="006364DC" w:rsidRPr="004E6471" w:rsidRDefault="006364DC" w:rsidP="004E6471">
            <w:pPr>
              <w:pStyle w:val="TableBodyText"/>
            </w:pPr>
          </w:p>
        </w:tc>
      </w:tr>
      <w:tr w:rsidR="006364DC" w:rsidRPr="0043355C" w14:paraId="6D65102F" w14:textId="77777777" w:rsidTr="00F01DA6">
        <w:tc>
          <w:tcPr>
            <w:tcW w:w="1731" w:type="dxa"/>
            <w:tcBorders>
              <w:bottom w:val="single" w:sz="4" w:space="0" w:color="FFFFFF" w:themeColor="background1"/>
            </w:tcBorders>
            <w:shd w:val="clear" w:color="auto" w:fill="D9D9D9" w:themeFill="background1" w:themeFillShade="D9"/>
          </w:tcPr>
          <w:p w14:paraId="2F054CCD" w14:textId="77777777" w:rsidR="006364DC" w:rsidRPr="004E6471" w:rsidRDefault="006364DC" w:rsidP="004E6471">
            <w:pPr>
              <w:pStyle w:val="TableBodyText"/>
            </w:pPr>
            <w:r w:rsidRPr="004E6471">
              <w:t>3</w:t>
            </w:r>
          </w:p>
        </w:tc>
        <w:tc>
          <w:tcPr>
            <w:tcW w:w="1731" w:type="dxa"/>
            <w:tcBorders>
              <w:bottom w:val="single" w:sz="4" w:space="0" w:color="FFFFFF" w:themeColor="background1"/>
            </w:tcBorders>
            <w:shd w:val="clear" w:color="auto" w:fill="D9D9D9" w:themeFill="background1" w:themeFillShade="D9"/>
          </w:tcPr>
          <w:p w14:paraId="796011C3" w14:textId="77777777" w:rsidR="006364DC" w:rsidRPr="004E6471" w:rsidRDefault="006364DC" w:rsidP="004E6471">
            <w:pPr>
              <w:pStyle w:val="TableBodyText"/>
            </w:pPr>
            <w:r w:rsidRPr="004E6471">
              <w:t>60 to 70</w:t>
            </w:r>
          </w:p>
        </w:tc>
        <w:tc>
          <w:tcPr>
            <w:tcW w:w="1731" w:type="dxa"/>
            <w:tcBorders>
              <w:bottom w:val="single" w:sz="4" w:space="0" w:color="FFFFFF" w:themeColor="background1"/>
            </w:tcBorders>
            <w:shd w:val="clear" w:color="auto" w:fill="D9D9D9" w:themeFill="background1" w:themeFillShade="D9"/>
          </w:tcPr>
          <w:p w14:paraId="75965601" w14:textId="77777777" w:rsidR="006364DC" w:rsidRPr="004E6471" w:rsidRDefault="006364DC" w:rsidP="004E6471">
            <w:pPr>
              <w:pStyle w:val="TableBodyText"/>
            </w:pPr>
            <w:r w:rsidRPr="004E6471">
              <w:t>25 to 30</w:t>
            </w:r>
          </w:p>
        </w:tc>
        <w:tc>
          <w:tcPr>
            <w:tcW w:w="2320" w:type="dxa"/>
            <w:tcBorders>
              <w:bottom w:val="single" w:sz="4" w:space="0" w:color="FFFFFF" w:themeColor="background1"/>
            </w:tcBorders>
            <w:shd w:val="clear" w:color="auto" w:fill="D9D9D9" w:themeFill="background1" w:themeFillShade="D9"/>
          </w:tcPr>
          <w:p w14:paraId="236E616C" w14:textId="77777777" w:rsidR="006364DC" w:rsidRPr="004E6471" w:rsidRDefault="006364DC" w:rsidP="004E6471">
            <w:pPr>
              <w:pStyle w:val="TableBodyText"/>
            </w:pPr>
          </w:p>
        </w:tc>
        <w:tc>
          <w:tcPr>
            <w:tcW w:w="1418" w:type="dxa"/>
            <w:tcBorders>
              <w:bottom w:val="single" w:sz="4" w:space="0" w:color="FFFFFF" w:themeColor="background1"/>
            </w:tcBorders>
            <w:shd w:val="clear" w:color="auto" w:fill="D9D9D9" w:themeFill="background1" w:themeFillShade="D9"/>
          </w:tcPr>
          <w:p w14:paraId="5C9C25DA" w14:textId="77777777" w:rsidR="006364DC" w:rsidRPr="004E6471" w:rsidRDefault="006364DC" w:rsidP="004E6471">
            <w:pPr>
              <w:pStyle w:val="TableBodyText"/>
            </w:pPr>
            <w:r w:rsidRPr="004E6471">
              <w:t>5 to 10</w:t>
            </w:r>
          </w:p>
        </w:tc>
      </w:tr>
      <w:tr w:rsidR="006364DC" w:rsidRPr="0043355C" w14:paraId="332E2C66" w14:textId="77777777" w:rsidTr="00F01DA6">
        <w:tc>
          <w:tcPr>
            <w:tcW w:w="1731" w:type="dxa"/>
            <w:tcBorders>
              <w:bottom w:val="single" w:sz="4" w:space="0" w:color="7F7F7F" w:themeColor="text1" w:themeTint="80"/>
            </w:tcBorders>
            <w:shd w:val="clear" w:color="auto" w:fill="D9D9D9" w:themeFill="background1" w:themeFillShade="D9"/>
          </w:tcPr>
          <w:p w14:paraId="592ABBCE" w14:textId="77777777" w:rsidR="006364DC" w:rsidRPr="004E6471" w:rsidRDefault="006364DC" w:rsidP="004E6471">
            <w:pPr>
              <w:pStyle w:val="TableBodyText"/>
            </w:pPr>
            <w:r w:rsidRPr="004E6471">
              <w:t>4</w:t>
            </w:r>
          </w:p>
        </w:tc>
        <w:tc>
          <w:tcPr>
            <w:tcW w:w="1731" w:type="dxa"/>
            <w:tcBorders>
              <w:bottom w:val="single" w:sz="4" w:space="0" w:color="7F7F7F" w:themeColor="text1" w:themeTint="80"/>
            </w:tcBorders>
            <w:shd w:val="clear" w:color="auto" w:fill="D9D9D9" w:themeFill="background1" w:themeFillShade="D9"/>
          </w:tcPr>
          <w:p w14:paraId="5773BADB" w14:textId="77777777" w:rsidR="006364DC" w:rsidRPr="004E6471" w:rsidRDefault="006364DC" w:rsidP="004E6471">
            <w:pPr>
              <w:pStyle w:val="TableBodyText"/>
            </w:pPr>
            <w:r w:rsidRPr="004E6471">
              <w:t>30 to 40</w:t>
            </w:r>
          </w:p>
        </w:tc>
        <w:tc>
          <w:tcPr>
            <w:tcW w:w="1731" w:type="dxa"/>
            <w:tcBorders>
              <w:bottom w:val="single" w:sz="4" w:space="0" w:color="7F7F7F" w:themeColor="text1" w:themeTint="80"/>
            </w:tcBorders>
            <w:shd w:val="clear" w:color="auto" w:fill="D9D9D9" w:themeFill="background1" w:themeFillShade="D9"/>
          </w:tcPr>
          <w:p w14:paraId="0DD4486A" w14:textId="77777777" w:rsidR="006364DC" w:rsidRPr="004E6471" w:rsidRDefault="006364DC" w:rsidP="004E6471">
            <w:pPr>
              <w:pStyle w:val="TableBodyText"/>
            </w:pPr>
          </w:p>
        </w:tc>
        <w:tc>
          <w:tcPr>
            <w:tcW w:w="2320" w:type="dxa"/>
            <w:tcBorders>
              <w:bottom w:val="single" w:sz="4" w:space="0" w:color="7F7F7F" w:themeColor="text1" w:themeTint="80"/>
            </w:tcBorders>
            <w:shd w:val="clear" w:color="auto" w:fill="D9D9D9" w:themeFill="background1" w:themeFillShade="D9"/>
          </w:tcPr>
          <w:p w14:paraId="23EAD0B8" w14:textId="77777777" w:rsidR="006364DC" w:rsidRPr="004E6471" w:rsidRDefault="006364DC" w:rsidP="004E6471">
            <w:pPr>
              <w:pStyle w:val="TableBodyText"/>
            </w:pPr>
            <w:r w:rsidRPr="004E6471">
              <w:t>60 to 70</w:t>
            </w:r>
          </w:p>
        </w:tc>
        <w:tc>
          <w:tcPr>
            <w:tcW w:w="1418" w:type="dxa"/>
            <w:tcBorders>
              <w:bottom w:val="single" w:sz="4" w:space="0" w:color="7F7F7F" w:themeColor="text1" w:themeTint="80"/>
            </w:tcBorders>
            <w:shd w:val="clear" w:color="auto" w:fill="D9D9D9" w:themeFill="background1" w:themeFillShade="D9"/>
          </w:tcPr>
          <w:p w14:paraId="0255DDE4" w14:textId="77777777" w:rsidR="006364DC" w:rsidRPr="004E6471" w:rsidRDefault="006364DC" w:rsidP="004E6471">
            <w:pPr>
              <w:pStyle w:val="TableBodyText"/>
            </w:pPr>
          </w:p>
        </w:tc>
      </w:tr>
    </w:tbl>
    <w:bookmarkEnd w:id="41"/>
    <w:p w14:paraId="0D6A2438" w14:textId="77777777" w:rsidR="006364DC" w:rsidRPr="004E6471" w:rsidRDefault="006364DC" w:rsidP="00F6785D">
      <w:pPr>
        <w:pStyle w:val="Notes"/>
        <w:ind w:firstLine="0"/>
      </w:pPr>
      <w:r w:rsidRPr="004E6471">
        <w:t>not permitted for Exposure Classification C, C1 and C2</w:t>
      </w:r>
    </w:p>
    <w:p w14:paraId="3BFC36AF" w14:textId="77777777" w:rsidR="006364DC" w:rsidRPr="004E6471" w:rsidRDefault="006364DC" w:rsidP="004E6471">
      <w:pPr>
        <w:pStyle w:val="Bodynumbered1"/>
      </w:pPr>
      <w:r w:rsidRPr="004E6471">
        <w:t>Type High Early (HE) cement which also satisfies the requirements of Type General Purpose (GP) cement may be substituted for Type GP Cement in any of the blends.</w:t>
      </w:r>
    </w:p>
    <w:p w14:paraId="55CAB635" w14:textId="77777777" w:rsidR="006364DC" w:rsidRPr="004E6471" w:rsidRDefault="006364DC" w:rsidP="004E6471">
      <w:pPr>
        <w:pStyle w:val="Bodynumbered1"/>
      </w:pPr>
      <w:r w:rsidRPr="004E6471">
        <w:t>Cementitious materials must:</w:t>
      </w:r>
    </w:p>
    <w:p w14:paraId="5CBCF8E7" w14:textId="77777777" w:rsidR="006364DC" w:rsidRPr="004E6471" w:rsidRDefault="006364DC" w:rsidP="008E2BFD">
      <w:pPr>
        <w:pStyle w:val="Bodynumbered2"/>
        <w:numPr>
          <w:ilvl w:val="0"/>
          <w:numId w:val="21"/>
        </w:numPr>
        <w:ind w:left="924" w:hanging="357"/>
      </w:pPr>
      <w:r w:rsidRPr="004E6471">
        <w:t>comply with the requirements of ATIC</w:t>
      </w:r>
      <w:r w:rsidRPr="004E6471">
        <w:noBreakHyphen/>
        <w:t>SPEC </w:t>
      </w:r>
      <w:proofErr w:type="gramStart"/>
      <w:r w:rsidRPr="004E6471">
        <w:t>SP43;</w:t>
      </w:r>
      <w:proofErr w:type="gramEnd"/>
    </w:p>
    <w:p w14:paraId="58A5941A" w14:textId="2DAE533E" w:rsidR="006364DC" w:rsidRPr="004E6471" w:rsidRDefault="006364DC" w:rsidP="00C10708">
      <w:pPr>
        <w:pStyle w:val="Bodynumbered2"/>
        <w:numPr>
          <w:ilvl w:val="0"/>
          <w:numId w:val="0"/>
        </w:numPr>
        <w:ind w:left="924" w:hanging="357"/>
      </w:pPr>
      <w:r w:rsidRPr="004E6471">
        <w:t>b</w:t>
      </w:r>
      <w:r w:rsidR="00C10708">
        <w:t>)</w:t>
      </w:r>
      <w:r w:rsidR="00C10708">
        <w:tab/>
        <w:t>b</w:t>
      </w:r>
      <w:r w:rsidRPr="004E6471">
        <w:t>e registered under the Cementitious Material Registration Scheme (CMRS) in accordance with ATIC</w:t>
      </w:r>
      <w:r w:rsidRPr="004E6471">
        <w:noBreakHyphen/>
        <w:t>SPEC SP43; and</w:t>
      </w:r>
    </w:p>
    <w:p w14:paraId="632F8FA5" w14:textId="74B10D33" w:rsidR="006364DC" w:rsidRPr="004E6471" w:rsidRDefault="008E2BFD" w:rsidP="008E2BFD">
      <w:pPr>
        <w:pStyle w:val="Bodynumbered2"/>
        <w:numPr>
          <w:ilvl w:val="0"/>
          <w:numId w:val="0"/>
        </w:numPr>
        <w:ind w:left="924" w:hanging="357"/>
      </w:pPr>
      <w:r>
        <w:t>c)</w:t>
      </w:r>
      <w:r>
        <w:tab/>
      </w:r>
      <w:r w:rsidR="006364DC" w:rsidRPr="004E6471">
        <w:t xml:space="preserve">not be used in the manufacture of Culvert Components if </w:t>
      </w:r>
      <w:r>
        <w:t>they are</w:t>
      </w:r>
      <w:r w:rsidR="006364DC" w:rsidRPr="004E6471">
        <w:t xml:space="preserve"> more than 3 months old, unless </w:t>
      </w:r>
      <w:r>
        <w:t>they are</w:t>
      </w:r>
      <w:r w:rsidR="006364DC" w:rsidRPr="004E6471">
        <w:t xml:space="preserve"> re</w:t>
      </w:r>
      <w:r w:rsidR="006364DC" w:rsidRPr="004E6471">
        <w:noBreakHyphen/>
        <w:t>tested to demonstrate compliance with this Specification.</w:t>
      </w:r>
    </w:p>
    <w:p w14:paraId="58601595" w14:textId="77777777" w:rsidR="00372245" w:rsidRDefault="006364DC" w:rsidP="00372245">
      <w:pPr>
        <w:pStyle w:val="Heading2"/>
      </w:pPr>
      <w:bookmarkStart w:id="42" w:name="_Toc42767689"/>
      <w:r w:rsidRPr="0043355C">
        <w:t>Aggregates</w:t>
      </w:r>
      <w:bookmarkEnd w:id="42"/>
      <w:r w:rsidRPr="0043355C">
        <w:t xml:space="preserve"> </w:t>
      </w:r>
    </w:p>
    <w:p w14:paraId="32A6A3DB" w14:textId="191F1472" w:rsidR="006364DC" w:rsidRPr="0043355C" w:rsidRDefault="006364DC" w:rsidP="00372245">
      <w:pPr>
        <w:pStyle w:val="BodyText"/>
        <w:keepNext/>
      </w:pPr>
      <w:r w:rsidRPr="0043355C">
        <w:t>(Refer AS 1597.1 Clause 2.4.3)</w:t>
      </w:r>
    </w:p>
    <w:p w14:paraId="3DE8C626" w14:textId="4172CEA1" w:rsidR="006364DC" w:rsidRDefault="006364DC" w:rsidP="00372245">
      <w:pPr>
        <w:pStyle w:val="Bodynumbered1"/>
      </w:pPr>
      <w:bookmarkStart w:id="43" w:name="_Ref13748524"/>
      <w:bookmarkStart w:id="44" w:name="_Ref6302804"/>
      <w:r w:rsidRPr="00372245">
        <w:t xml:space="preserve">Aggregate for concrete must comply with the requirements of AS 2758.1 and the specifications listed in Table </w:t>
      </w:r>
      <w:r w:rsidRPr="00372245">
        <w:fldChar w:fldCharType="begin"/>
      </w:r>
      <w:r w:rsidRPr="00372245">
        <w:instrText xml:space="preserve"> REF _Ref13748524 \r \h  \* MERGEFORMAT </w:instrText>
      </w:r>
      <w:r w:rsidRPr="00372245">
        <w:fldChar w:fldCharType="separate"/>
      </w:r>
      <w:r w:rsidRPr="00372245">
        <w:t>6.12</w:t>
      </w:r>
      <w:r w:rsidRPr="00372245">
        <w:fldChar w:fldCharType="end"/>
      </w:r>
      <w:r w:rsidRPr="00372245">
        <w:t>:</w:t>
      </w:r>
      <w:bookmarkEnd w:id="43"/>
    </w:p>
    <w:p w14:paraId="6C6DCF20" w14:textId="5BCC8D27" w:rsidR="00F01DA6" w:rsidRPr="00372245" w:rsidRDefault="00F01DA6" w:rsidP="00F01DA6">
      <w:pPr>
        <w:pStyle w:val="Caption"/>
      </w:pPr>
      <w:r w:rsidRPr="004E6471">
        <w:t xml:space="preserve">Table </w:t>
      </w:r>
      <w:r w:rsidRPr="004E6471">
        <w:fldChar w:fldCharType="begin"/>
      </w:r>
      <w:r w:rsidRPr="004E6471">
        <w:instrText xml:space="preserve"> REF _Ref13748524 \r \h  \* MERGEFORMAT </w:instrText>
      </w:r>
      <w:r w:rsidRPr="004E6471">
        <w:fldChar w:fldCharType="separate"/>
      </w:r>
      <w:r w:rsidRPr="004E6471">
        <w:t>6.12</w:t>
      </w:r>
      <w:r w:rsidRPr="004E6471">
        <w:fldChar w:fldCharType="end"/>
      </w:r>
      <w:r>
        <w:t>:</w:t>
      </w:r>
      <w:r w:rsidRPr="004E6471">
        <w:t xml:space="preserve"> Aggregate </w:t>
      </w:r>
      <w:r>
        <w:t>r</w:t>
      </w:r>
      <w:r w:rsidRPr="004E6471">
        <w:t>equirements</w:t>
      </w:r>
    </w:p>
    <w:tbl>
      <w:tblPr>
        <w:tblStyle w:val="SimpleTable7"/>
        <w:tblW w:w="9072"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CellMar>
          <w:left w:w="113" w:type="dxa"/>
          <w:right w:w="28" w:type="dxa"/>
        </w:tblCellMar>
        <w:tblLook w:val="04A0" w:firstRow="1" w:lastRow="0" w:firstColumn="1" w:lastColumn="0" w:noHBand="0" w:noVBand="1"/>
      </w:tblPr>
      <w:tblGrid>
        <w:gridCol w:w="2835"/>
        <w:gridCol w:w="6237"/>
      </w:tblGrid>
      <w:tr w:rsidR="006364DC" w:rsidRPr="0043355C" w14:paraId="5CF3EDB5" w14:textId="77777777" w:rsidTr="00F01DA6">
        <w:tc>
          <w:tcPr>
            <w:tcW w:w="2835" w:type="dxa"/>
            <w:shd w:val="clear" w:color="auto" w:fill="BFBFBF" w:themeFill="background1" w:themeFillShade="BF"/>
            <w:vAlign w:val="center"/>
          </w:tcPr>
          <w:p w14:paraId="03493B27" w14:textId="77777777" w:rsidR="006364DC" w:rsidRPr="004E6471" w:rsidRDefault="006364DC" w:rsidP="00F01DA6">
            <w:pPr>
              <w:pStyle w:val="TableHeading"/>
              <w:rPr>
                <w:b w:val="0"/>
                <w:bCs/>
                <w:color w:val="000000" w:themeColor="text1"/>
              </w:rPr>
            </w:pPr>
            <w:bookmarkStart w:id="45" w:name="_Hlk15025498"/>
            <w:r w:rsidRPr="004E6471">
              <w:rPr>
                <w:bCs/>
                <w:color w:val="000000" w:themeColor="text1"/>
              </w:rPr>
              <w:t>Jurisdiction where the Culvert Components are to be installed</w:t>
            </w:r>
          </w:p>
        </w:tc>
        <w:tc>
          <w:tcPr>
            <w:tcW w:w="6237" w:type="dxa"/>
            <w:shd w:val="clear" w:color="auto" w:fill="BFBFBF" w:themeFill="background1" w:themeFillShade="BF"/>
            <w:vAlign w:val="center"/>
          </w:tcPr>
          <w:p w14:paraId="2B6F03DD" w14:textId="77777777" w:rsidR="006364DC" w:rsidRPr="004E6471" w:rsidRDefault="006364DC" w:rsidP="00F01DA6">
            <w:pPr>
              <w:pStyle w:val="TableHeading"/>
              <w:rPr>
                <w:b w:val="0"/>
                <w:bCs/>
                <w:color w:val="000000" w:themeColor="text1"/>
              </w:rPr>
            </w:pPr>
            <w:r w:rsidRPr="004E6471">
              <w:rPr>
                <w:bCs/>
                <w:color w:val="000000" w:themeColor="text1"/>
              </w:rPr>
              <w:t>Applicable Specification</w:t>
            </w:r>
          </w:p>
        </w:tc>
      </w:tr>
      <w:tr w:rsidR="006364DC" w:rsidRPr="0043355C" w14:paraId="499FC93A" w14:textId="77777777" w:rsidTr="00F01DA6">
        <w:tc>
          <w:tcPr>
            <w:tcW w:w="2835" w:type="dxa"/>
            <w:shd w:val="clear" w:color="auto" w:fill="D9D9D9" w:themeFill="background1" w:themeFillShade="D9"/>
          </w:tcPr>
          <w:p w14:paraId="14F320FB" w14:textId="77777777" w:rsidR="006364DC" w:rsidRPr="0063130E" w:rsidRDefault="006364DC" w:rsidP="0063130E">
            <w:pPr>
              <w:pStyle w:val="TableBodyText"/>
            </w:pPr>
            <w:r w:rsidRPr="0063130E">
              <w:t>Queensland</w:t>
            </w:r>
          </w:p>
        </w:tc>
        <w:tc>
          <w:tcPr>
            <w:tcW w:w="6237" w:type="dxa"/>
            <w:shd w:val="clear" w:color="auto" w:fill="D9D9D9" w:themeFill="background1" w:themeFillShade="D9"/>
          </w:tcPr>
          <w:p w14:paraId="4E450A0F" w14:textId="77777777" w:rsidR="006364DC" w:rsidRPr="0063130E" w:rsidRDefault="006364DC" w:rsidP="0063130E">
            <w:pPr>
              <w:pStyle w:val="TableBodyText"/>
            </w:pPr>
            <w:r w:rsidRPr="0063130E">
              <w:t xml:space="preserve">Clause 7.5 of TMR </w:t>
            </w:r>
            <w:hyperlink r:id="rId15" w:anchor="MRTS70" w:history="1">
              <w:r w:rsidRPr="0063130E">
                <w:rPr>
                  <w:rStyle w:val="Hyperlink"/>
                </w:rPr>
                <w:t>MRTS70 Concrete</w:t>
              </w:r>
            </w:hyperlink>
          </w:p>
        </w:tc>
      </w:tr>
      <w:tr w:rsidR="006364DC" w:rsidRPr="0043355C" w14:paraId="4C0DF9C2" w14:textId="77777777" w:rsidTr="00F01DA6">
        <w:tc>
          <w:tcPr>
            <w:tcW w:w="2835" w:type="dxa"/>
            <w:shd w:val="clear" w:color="auto" w:fill="D9D9D9" w:themeFill="background1" w:themeFillShade="D9"/>
          </w:tcPr>
          <w:p w14:paraId="11F77F81" w14:textId="77777777" w:rsidR="006364DC" w:rsidRPr="0063130E" w:rsidRDefault="006364DC" w:rsidP="0063130E">
            <w:pPr>
              <w:pStyle w:val="TableBodyText"/>
            </w:pPr>
            <w:r w:rsidRPr="0063130E">
              <w:t>South Australia and Northern Territory</w:t>
            </w:r>
          </w:p>
        </w:tc>
        <w:tc>
          <w:tcPr>
            <w:tcW w:w="6237" w:type="dxa"/>
            <w:shd w:val="clear" w:color="auto" w:fill="D9D9D9" w:themeFill="background1" w:themeFillShade="D9"/>
          </w:tcPr>
          <w:p w14:paraId="5EE32BA3" w14:textId="6C44FEA1" w:rsidR="006364DC" w:rsidRPr="0063130E" w:rsidRDefault="006364DC" w:rsidP="0063130E">
            <w:pPr>
              <w:pStyle w:val="TableBodyText"/>
            </w:pPr>
            <w:r w:rsidRPr="0063130E">
              <w:t xml:space="preserve">Clause 3.3 of DPTI </w:t>
            </w:r>
            <w:hyperlink r:id="rId16" w:history="1">
              <w:r w:rsidRPr="0063130E">
                <w:rPr>
                  <w:rStyle w:val="Hyperlink"/>
                </w:rPr>
                <w:t xml:space="preserve">ST-SC-S7 </w:t>
              </w:r>
              <w:r w:rsidR="0063130E" w:rsidRPr="0063130E">
                <w:rPr>
                  <w:rStyle w:val="Hyperlink"/>
                </w:rPr>
                <w:t>–</w:t>
              </w:r>
              <w:r w:rsidRPr="0063130E">
                <w:rPr>
                  <w:rStyle w:val="Hyperlink"/>
                </w:rPr>
                <w:t xml:space="preserve"> S</w:t>
              </w:r>
              <w:r w:rsidR="0063130E" w:rsidRPr="0063130E">
                <w:rPr>
                  <w:rStyle w:val="Hyperlink"/>
                </w:rPr>
                <w:t>upply of Concrete</w:t>
              </w:r>
            </w:hyperlink>
          </w:p>
        </w:tc>
      </w:tr>
      <w:tr w:rsidR="006364DC" w:rsidRPr="0043355C" w14:paraId="571E0F33" w14:textId="77777777" w:rsidTr="00F01DA6">
        <w:tc>
          <w:tcPr>
            <w:tcW w:w="2835" w:type="dxa"/>
            <w:shd w:val="clear" w:color="auto" w:fill="D9D9D9" w:themeFill="background1" w:themeFillShade="D9"/>
          </w:tcPr>
          <w:p w14:paraId="4F3376BF" w14:textId="77777777" w:rsidR="006364DC" w:rsidRPr="0063130E" w:rsidRDefault="006364DC" w:rsidP="0063130E">
            <w:pPr>
              <w:pStyle w:val="TableBodyText"/>
            </w:pPr>
            <w:r w:rsidRPr="0063130E">
              <w:t xml:space="preserve">Western Australia </w:t>
            </w:r>
          </w:p>
        </w:tc>
        <w:tc>
          <w:tcPr>
            <w:tcW w:w="6237" w:type="dxa"/>
            <w:shd w:val="clear" w:color="auto" w:fill="D9D9D9" w:themeFill="background1" w:themeFillShade="D9"/>
          </w:tcPr>
          <w:p w14:paraId="045F4D1D" w14:textId="60692178" w:rsidR="006364DC" w:rsidRPr="0063130E" w:rsidRDefault="006364DC" w:rsidP="0063130E">
            <w:pPr>
              <w:pStyle w:val="TableBodyText"/>
            </w:pPr>
            <w:r w:rsidRPr="0063130E">
              <w:t>Clause 820.08 of MRWA</w:t>
            </w:r>
            <w:r w:rsidR="00E65F89">
              <w:t xml:space="preserve"> </w:t>
            </w:r>
            <w:hyperlink r:id="rId17" w:history="1">
              <w:r w:rsidRPr="0063130E">
                <w:rPr>
                  <w:rStyle w:val="Hyperlink"/>
                </w:rPr>
                <w:t>Specification 820 Concrete for Structures</w:t>
              </w:r>
            </w:hyperlink>
          </w:p>
        </w:tc>
      </w:tr>
      <w:tr w:rsidR="006364DC" w:rsidRPr="0043355C" w14:paraId="03B1483D" w14:textId="77777777" w:rsidTr="00F01DA6">
        <w:tc>
          <w:tcPr>
            <w:tcW w:w="2835" w:type="dxa"/>
            <w:tcBorders>
              <w:bottom w:val="single" w:sz="4" w:space="0" w:color="FFFFFF" w:themeColor="background1"/>
            </w:tcBorders>
            <w:shd w:val="clear" w:color="auto" w:fill="D9D9D9" w:themeFill="background1" w:themeFillShade="D9"/>
          </w:tcPr>
          <w:p w14:paraId="373A042D" w14:textId="77777777" w:rsidR="006364DC" w:rsidRPr="0063130E" w:rsidRDefault="006364DC" w:rsidP="0063130E">
            <w:pPr>
              <w:pStyle w:val="TableBodyText"/>
            </w:pPr>
            <w:r w:rsidRPr="0063130E">
              <w:t>New South Wales and ACT</w:t>
            </w:r>
          </w:p>
        </w:tc>
        <w:tc>
          <w:tcPr>
            <w:tcW w:w="6237" w:type="dxa"/>
            <w:tcBorders>
              <w:bottom w:val="single" w:sz="4" w:space="0" w:color="FFFFFF" w:themeColor="background1"/>
            </w:tcBorders>
            <w:shd w:val="clear" w:color="auto" w:fill="D9D9D9" w:themeFill="background1" w:themeFillShade="D9"/>
          </w:tcPr>
          <w:p w14:paraId="47BEF45C" w14:textId="77777777" w:rsidR="006364DC" w:rsidRPr="0063130E" w:rsidRDefault="006364DC" w:rsidP="0063130E">
            <w:pPr>
              <w:pStyle w:val="TableBodyText"/>
            </w:pPr>
            <w:r w:rsidRPr="0063130E">
              <w:t xml:space="preserve">Clause 2.4 of RMS </w:t>
            </w:r>
            <w:hyperlink r:id="rId18" w:anchor="Concretemembers,B80-B170" w:history="1">
              <w:r w:rsidRPr="0063130E">
                <w:rPr>
                  <w:rStyle w:val="Hyperlink"/>
                </w:rPr>
                <w:t>B80 Concrete Work for Bridges</w:t>
              </w:r>
            </w:hyperlink>
          </w:p>
        </w:tc>
      </w:tr>
      <w:tr w:rsidR="006364DC" w:rsidRPr="0043355C" w14:paraId="73690A8B" w14:textId="77777777" w:rsidTr="00F01DA6">
        <w:tc>
          <w:tcPr>
            <w:tcW w:w="2835" w:type="dxa"/>
            <w:tcBorders>
              <w:bottom w:val="single" w:sz="4" w:space="0" w:color="7F7F7F" w:themeColor="text1" w:themeTint="80"/>
            </w:tcBorders>
            <w:shd w:val="clear" w:color="auto" w:fill="D9D9D9" w:themeFill="background1" w:themeFillShade="D9"/>
          </w:tcPr>
          <w:p w14:paraId="432D0555" w14:textId="77777777" w:rsidR="006364DC" w:rsidRPr="0063130E" w:rsidRDefault="006364DC" w:rsidP="0063130E">
            <w:pPr>
              <w:pStyle w:val="TableBodyText"/>
            </w:pPr>
            <w:r w:rsidRPr="0063130E">
              <w:t>Victoria and Tasmania</w:t>
            </w:r>
          </w:p>
        </w:tc>
        <w:tc>
          <w:tcPr>
            <w:tcW w:w="6237" w:type="dxa"/>
            <w:tcBorders>
              <w:bottom w:val="single" w:sz="4" w:space="0" w:color="7F7F7F" w:themeColor="text1" w:themeTint="80"/>
            </w:tcBorders>
            <w:shd w:val="clear" w:color="auto" w:fill="D9D9D9" w:themeFill="background1" w:themeFillShade="D9"/>
          </w:tcPr>
          <w:p w14:paraId="3132580F" w14:textId="77777777" w:rsidR="006364DC" w:rsidRPr="0063130E" w:rsidRDefault="006364DC" w:rsidP="0063130E">
            <w:pPr>
              <w:pStyle w:val="TableBodyText"/>
            </w:pPr>
            <w:r w:rsidRPr="0063130E">
              <w:t xml:space="preserve">Clause 610.11 of VicRoads </w:t>
            </w:r>
            <w:hyperlink r:id="rId19" w:history="1">
              <w:r w:rsidRPr="0063130E">
                <w:rPr>
                  <w:rStyle w:val="Hyperlink"/>
                </w:rPr>
                <w:t>Section 610 Structural Concrete</w:t>
              </w:r>
            </w:hyperlink>
          </w:p>
        </w:tc>
      </w:tr>
    </w:tbl>
    <w:p w14:paraId="44EA35D6" w14:textId="77777777" w:rsidR="00372245" w:rsidRPr="00554DAF" w:rsidRDefault="006364DC" w:rsidP="00554DAF">
      <w:pPr>
        <w:pStyle w:val="Heading2"/>
      </w:pPr>
      <w:bookmarkStart w:id="46" w:name="_Toc42767690"/>
      <w:bookmarkEnd w:id="37"/>
      <w:bookmarkEnd w:id="44"/>
      <w:bookmarkEnd w:id="45"/>
      <w:r w:rsidRPr="00554DAF">
        <w:t>Water</w:t>
      </w:r>
      <w:bookmarkEnd w:id="46"/>
      <w:r w:rsidRPr="00554DAF">
        <w:t xml:space="preserve"> </w:t>
      </w:r>
    </w:p>
    <w:p w14:paraId="188B87D2" w14:textId="28B50E16" w:rsidR="006364DC" w:rsidRPr="0043355C" w:rsidRDefault="006364DC" w:rsidP="00372245">
      <w:pPr>
        <w:pStyle w:val="BodyText"/>
      </w:pPr>
      <w:r w:rsidRPr="0043355C">
        <w:t>(Refer AS 1597.1 Clause 2.4.4)</w:t>
      </w:r>
    </w:p>
    <w:p w14:paraId="3BE62FCC" w14:textId="77777777" w:rsidR="006364DC" w:rsidRPr="00153550" w:rsidRDefault="006364DC" w:rsidP="00153550">
      <w:pPr>
        <w:pStyle w:val="Bodynumbered1"/>
      </w:pPr>
      <w:r w:rsidRPr="00153550">
        <w:t>The quality of water to be used in the concrete mix and for the curing of concrete must comply with the requirements of Clause 2.4 of AS 1379. However, for sources other than water drawn from a stable reticulated drinking water supply, the following applies when tested in accordance with the test methods listed in Table 2.3 of AS 1379:</w:t>
      </w:r>
    </w:p>
    <w:p w14:paraId="08C47AE8" w14:textId="2E67F5B8" w:rsidR="006364DC" w:rsidRPr="00153550" w:rsidRDefault="006364DC" w:rsidP="007D4887">
      <w:pPr>
        <w:pStyle w:val="Bodynumbered2"/>
        <w:numPr>
          <w:ilvl w:val="0"/>
          <w:numId w:val="27"/>
        </w:numPr>
      </w:pPr>
      <w:r w:rsidRPr="00153550">
        <w:t xml:space="preserve">chloride content </w:t>
      </w:r>
      <w:r w:rsidR="00C10708">
        <w:t xml:space="preserve">must </w:t>
      </w:r>
      <w:r w:rsidRPr="00153550">
        <w:t xml:space="preserve">not </w:t>
      </w:r>
      <w:r w:rsidR="00C10708">
        <w:t xml:space="preserve">be </w:t>
      </w:r>
      <w:r w:rsidRPr="00153550">
        <w:t>greater than 0.03% (300 ppm</w:t>
      </w:r>
      <w:proofErr w:type="gramStart"/>
      <w:r w:rsidRPr="00153550">
        <w:t>);</w:t>
      </w:r>
      <w:proofErr w:type="gramEnd"/>
      <w:r w:rsidRPr="00153550">
        <w:t xml:space="preserve"> </w:t>
      </w:r>
    </w:p>
    <w:p w14:paraId="74ABC8EE" w14:textId="671D9059" w:rsidR="006364DC" w:rsidRPr="00153550" w:rsidRDefault="006364DC" w:rsidP="007D4887">
      <w:pPr>
        <w:pStyle w:val="Bodynumbered2"/>
        <w:numPr>
          <w:ilvl w:val="0"/>
          <w:numId w:val="27"/>
        </w:numPr>
      </w:pPr>
      <w:r w:rsidRPr="00153550">
        <w:t xml:space="preserve">sulphate content (as SO4) </w:t>
      </w:r>
      <w:r w:rsidR="00C10708">
        <w:t xml:space="preserve">must </w:t>
      </w:r>
      <w:r w:rsidRPr="00153550">
        <w:t>not be greater than 0.04% (400 ppm).</w:t>
      </w:r>
    </w:p>
    <w:p w14:paraId="7D484A91" w14:textId="77777777" w:rsidR="006364DC" w:rsidRPr="00153550" w:rsidRDefault="006364DC" w:rsidP="00153550">
      <w:pPr>
        <w:pStyle w:val="Bodynumbered1"/>
      </w:pPr>
      <w:r w:rsidRPr="00153550">
        <w:lastRenderedPageBreak/>
        <w:t>The total dissolved solids of any recycled water used in the concrete mix must not be greater than 700 milligrams per litre.</w:t>
      </w:r>
    </w:p>
    <w:p w14:paraId="5961A378" w14:textId="1005117D" w:rsidR="006364DC" w:rsidRPr="00153550" w:rsidRDefault="006364DC" w:rsidP="00153550">
      <w:pPr>
        <w:pStyle w:val="Bodynumbered1"/>
      </w:pPr>
      <w:r w:rsidRPr="00153550">
        <w:t xml:space="preserve">Any recycled or non-potable water must be sampled and tested to demonstrate compliance with the requirements of this Specification and AS 1379. The interval between testing </w:t>
      </w:r>
      <w:r w:rsidR="00C10708">
        <w:t xml:space="preserve">times </w:t>
      </w:r>
      <w:r w:rsidRPr="00153550">
        <w:t>must not exceed one month.</w:t>
      </w:r>
    </w:p>
    <w:p w14:paraId="7EC4D497" w14:textId="73D0D597" w:rsidR="00372245" w:rsidRDefault="006364DC" w:rsidP="001A6E99">
      <w:pPr>
        <w:pStyle w:val="Heading2"/>
      </w:pPr>
      <w:bookmarkStart w:id="47" w:name="_Toc42767691"/>
      <w:r w:rsidRPr="0043355C">
        <w:t xml:space="preserve">Restriction on </w:t>
      </w:r>
      <w:r w:rsidR="00C10708">
        <w:t>C</w:t>
      </w:r>
      <w:r w:rsidRPr="0043355C">
        <w:t xml:space="preserve">hemical </w:t>
      </w:r>
      <w:r w:rsidR="00C10708">
        <w:t>C</w:t>
      </w:r>
      <w:r w:rsidRPr="0043355C">
        <w:t>ontent</w:t>
      </w:r>
      <w:bookmarkEnd w:id="47"/>
      <w:r w:rsidRPr="0043355C">
        <w:t xml:space="preserve"> </w:t>
      </w:r>
    </w:p>
    <w:p w14:paraId="11C92A1C" w14:textId="446200C8" w:rsidR="006364DC" w:rsidRPr="00372245" w:rsidRDefault="006364DC" w:rsidP="001A6E99">
      <w:pPr>
        <w:pStyle w:val="BodyText"/>
        <w:keepNext/>
        <w:rPr>
          <w:rStyle w:val="BodyTextChar"/>
        </w:rPr>
      </w:pPr>
      <w:r w:rsidRPr="0043355C">
        <w:t>(</w:t>
      </w:r>
      <w:r w:rsidRPr="00372245">
        <w:rPr>
          <w:rStyle w:val="BodyTextChar"/>
        </w:rPr>
        <w:t>Refer AS 1597.1 Clause 2.4.6)</w:t>
      </w:r>
    </w:p>
    <w:p w14:paraId="6D611CC8" w14:textId="0EBC9AEA" w:rsidR="006364DC" w:rsidRPr="0043355C" w:rsidRDefault="006364DC" w:rsidP="001A6E99">
      <w:pPr>
        <w:pStyle w:val="Bodynumbered1"/>
        <w:keepNext/>
      </w:pPr>
      <w:bookmarkStart w:id="48" w:name="_Ref39478012"/>
      <w:r w:rsidRPr="0043355C">
        <w:t>The sulphate and acid soluble chloride</w:t>
      </w:r>
      <w:r w:rsidR="00C10708">
        <w:t xml:space="preserve"> </w:t>
      </w:r>
      <w:r w:rsidRPr="0043355C">
        <w:t xml:space="preserve">ion content must be determined by either testing hardened concrete in </w:t>
      </w:r>
      <w:bookmarkStart w:id="49" w:name="_Hlk36817394"/>
      <w:r w:rsidRPr="0043355C">
        <w:t xml:space="preserve">accordance with </w:t>
      </w:r>
      <w:bookmarkEnd w:id="49"/>
      <w:r w:rsidRPr="0043355C">
        <w:t xml:space="preserve">Clause </w:t>
      </w:r>
      <w:r w:rsidRPr="0043355C">
        <w:fldChar w:fldCharType="begin"/>
      </w:r>
      <w:r w:rsidRPr="0043355C">
        <w:instrText xml:space="preserve"> REF _Ref36819893 \r \h  \* MERGEFORMAT </w:instrText>
      </w:r>
      <w:r w:rsidRPr="0043355C">
        <w:fldChar w:fldCharType="separate"/>
      </w:r>
      <w:r>
        <w:t>6.18</w:t>
      </w:r>
      <w:r w:rsidRPr="0043355C">
        <w:fldChar w:fldCharType="end"/>
      </w:r>
      <w:r w:rsidRPr="0043355C">
        <w:t xml:space="preserve"> or testing the individual components of the mix and </w:t>
      </w:r>
      <w:r w:rsidR="00C10708">
        <w:t>calculating them</w:t>
      </w:r>
      <w:r w:rsidRPr="0043355C">
        <w:t xml:space="preserve"> in accordance with Clause </w:t>
      </w:r>
      <w:r w:rsidRPr="0043355C">
        <w:fldChar w:fldCharType="begin"/>
      </w:r>
      <w:r w:rsidRPr="0043355C">
        <w:instrText xml:space="preserve"> REF _Ref36819904 \r \h  \* MERGEFORMAT </w:instrText>
      </w:r>
      <w:r w:rsidRPr="0043355C">
        <w:fldChar w:fldCharType="separate"/>
      </w:r>
      <w:r>
        <w:t>6.19</w:t>
      </w:r>
      <w:r w:rsidRPr="0043355C">
        <w:fldChar w:fldCharType="end"/>
      </w:r>
      <w:r w:rsidRPr="0043355C">
        <w:t>. Tests are to be repeated yearly.</w:t>
      </w:r>
      <w:bookmarkEnd w:id="48"/>
      <w:r w:rsidRPr="0043355C">
        <w:t xml:space="preserve"> </w:t>
      </w:r>
    </w:p>
    <w:p w14:paraId="419A0FBB" w14:textId="77777777" w:rsidR="006364DC" w:rsidRPr="0043355C" w:rsidRDefault="006364DC" w:rsidP="00153550">
      <w:pPr>
        <w:pStyle w:val="Bodynumbered1"/>
      </w:pPr>
      <w:r w:rsidRPr="0043355C">
        <w:t>Notwithstanding Table 2.2 of AS 1379, for Exposure classification C, the acid soluble chloride must not exceed 0.4 kg/m³.</w:t>
      </w:r>
    </w:p>
    <w:p w14:paraId="4E5A4223" w14:textId="77777777" w:rsidR="006364DC" w:rsidRPr="0043355C" w:rsidRDefault="006364DC" w:rsidP="00153550">
      <w:pPr>
        <w:pStyle w:val="Bodynumbered1"/>
      </w:pPr>
      <w:bookmarkStart w:id="50" w:name="_Ref36819893"/>
      <w:r w:rsidRPr="0043355C">
        <w:t>Where chloride ion content is determined by testing of hardened concrete, the testing must be in accordance with the following:</w:t>
      </w:r>
      <w:bookmarkEnd w:id="50"/>
      <w:r w:rsidRPr="0043355C">
        <w:t xml:space="preserve"> </w:t>
      </w:r>
    </w:p>
    <w:p w14:paraId="77A8244F" w14:textId="2D856D4E" w:rsidR="006364DC" w:rsidRPr="00153550" w:rsidRDefault="006364DC" w:rsidP="007D4887">
      <w:pPr>
        <w:pStyle w:val="Bodynumbered2"/>
        <w:numPr>
          <w:ilvl w:val="0"/>
          <w:numId w:val="34"/>
        </w:numPr>
      </w:pPr>
      <w:r w:rsidRPr="00153550">
        <w:t xml:space="preserve">Sampling in accordance with AS 1012.8.1 with a minimum sample size of 1.2 </w:t>
      </w:r>
      <w:proofErr w:type="gramStart"/>
      <w:r w:rsidRPr="00153550">
        <w:t>kg;</w:t>
      </w:r>
      <w:proofErr w:type="gramEnd"/>
    </w:p>
    <w:p w14:paraId="0885E49C" w14:textId="26F7DA63" w:rsidR="006364DC" w:rsidRPr="00153550" w:rsidRDefault="00C10708" w:rsidP="00C10708">
      <w:pPr>
        <w:pStyle w:val="Bodynumbered2"/>
        <w:numPr>
          <w:ilvl w:val="0"/>
          <w:numId w:val="0"/>
        </w:numPr>
        <w:ind w:left="924" w:hanging="357"/>
      </w:pPr>
      <w:r>
        <w:t>b)</w:t>
      </w:r>
      <w:r>
        <w:tab/>
      </w:r>
      <w:r w:rsidR="006364DC" w:rsidRPr="00153550">
        <w:t xml:space="preserve">Testing in accordance with AS </w:t>
      </w:r>
      <w:proofErr w:type="gramStart"/>
      <w:r w:rsidR="006364DC" w:rsidRPr="00153550">
        <w:t>1012.20.1;</w:t>
      </w:r>
      <w:proofErr w:type="gramEnd"/>
    </w:p>
    <w:p w14:paraId="139FFC88" w14:textId="2913A31D" w:rsidR="006364DC" w:rsidRPr="00153550" w:rsidRDefault="006364DC" w:rsidP="00C10708">
      <w:pPr>
        <w:pStyle w:val="Bodynumbered2"/>
        <w:numPr>
          <w:ilvl w:val="0"/>
          <w:numId w:val="23"/>
        </w:numPr>
      </w:pPr>
      <w:r w:rsidRPr="00153550">
        <w:t>2 portions (subsamples) must be tested; if either is non-conforming, a further three portions must be tested; and</w:t>
      </w:r>
    </w:p>
    <w:p w14:paraId="7BA7A84C" w14:textId="10A8BA38" w:rsidR="006364DC" w:rsidRPr="00153550" w:rsidRDefault="006364DC" w:rsidP="00C10708">
      <w:pPr>
        <w:pStyle w:val="Bodynumbered2"/>
        <w:numPr>
          <w:ilvl w:val="0"/>
          <w:numId w:val="23"/>
        </w:numPr>
      </w:pPr>
      <w:r w:rsidRPr="00153550">
        <w:t>The test report must include:</w:t>
      </w:r>
    </w:p>
    <w:p w14:paraId="69F062F8" w14:textId="77777777" w:rsidR="006364DC" w:rsidRPr="00153550" w:rsidRDefault="006364DC" w:rsidP="001F5DD4">
      <w:pPr>
        <w:pStyle w:val="Bodynumbered3"/>
        <w:numPr>
          <w:ilvl w:val="0"/>
          <w:numId w:val="24"/>
        </w:numPr>
        <w:ind w:left="1281" w:hanging="357"/>
      </w:pPr>
      <w:r w:rsidRPr="00153550">
        <w:t xml:space="preserve">details as per AS 1012.20.1 Clause </w:t>
      </w:r>
      <w:proofErr w:type="gramStart"/>
      <w:r w:rsidRPr="00153550">
        <w:t>9;</w:t>
      </w:r>
      <w:proofErr w:type="gramEnd"/>
    </w:p>
    <w:p w14:paraId="4611AB92" w14:textId="33D5F874" w:rsidR="006364DC" w:rsidRPr="00153550" w:rsidRDefault="001F5DD4" w:rsidP="001F5DD4">
      <w:pPr>
        <w:pStyle w:val="Bodynumbered3"/>
        <w:numPr>
          <w:ilvl w:val="0"/>
          <w:numId w:val="0"/>
        </w:numPr>
        <w:ind w:left="1281" w:hanging="357"/>
      </w:pPr>
      <w:r>
        <w:t>ii)</w:t>
      </w:r>
      <w:r>
        <w:tab/>
      </w:r>
      <w:r w:rsidR="006364DC" w:rsidRPr="00153550">
        <w:t xml:space="preserve">individual chloride contents (by mass) from each </w:t>
      </w:r>
      <w:proofErr w:type="gramStart"/>
      <w:r w:rsidR="006364DC" w:rsidRPr="00153550">
        <w:t>sample;</w:t>
      </w:r>
      <w:proofErr w:type="gramEnd"/>
    </w:p>
    <w:p w14:paraId="2EEFD3F6" w14:textId="20FA9CAA" w:rsidR="006364DC" w:rsidRPr="00153550" w:rsidRDefault="006364DC" w:rsidP="007D4887">
      <w:pPr>
        <w:pStyle w:val="Bodynumbered3"/>
        <w:numPr>
          <w:ilvl w:val="0"/>
          <w:numId w:val="35"/>
        </w:numPr>
        <w:ind w:left="1281" w:hanging="357"/>
      </w:pPr>
      <w:r w:rsidRPr="00153550">
        <w:t>average chloride content (by mass</w:t>
      </w:r>
      <w:proofErr w:type="gramStart"/>
      <w:r w:rsidRPr="00153550">
        <w:t>);</w:t>
      </w:r>
      <w:proofErr w:type="gramEnd"/>
    </w:p>
    <w:p w14:paraId="41A348A1" w14:textId="77777777" w:rsidR="006364DC" w:rsidRPr="00153550" w:rsidRDefault="006364DC" w:rsidP="001F5DD4">
      <w:pPr>
        <w:pStyle w:val="Bodynumbered3"/>
        <w:ind w:left="1281" w:hanging="357"/>
      </w:pPr>
      <w:r w:rsidRPr="00153550">
        <w:t>standard deviation of chloride content (by mass); and</w:t>
      </w:r>
    </w:p>
    <w:p w14:paraId="30260E2C" w14:textId="4C8E41F8" w:rsidR="006364DC" w:rsidRDefault="006364DC" w:rsidP="001F5DD4">
      <w:pPr>
        <w:pStyle w:val="Bodynumbered3"/>
        <w:ind w:left="1281" w:hanging="357"/>
      </w:pPr>
      <w:r w:rsidRPr="00153550">
        <w:t>average chloride content (kg/m³).</w:t>
      </w:r>
    </w:p>
    <w:p w14:paraId="3EFA84FA" w14:textId="434BD98C" w:rsidR="006364DC" w:rsidRPr="00153550" w:rsidRDefault="006364DC" w:rsidP="00153550">
      <w:pPr>
        <w:pStyle w:val="Bodynumbered1"/>
      </w:pPr>
      <w:bookmarkStart w:id="51" w:name="_Ref36819904"/>
      <w:r w:rsidRPr="00153550">
        <w:t xml:space="preserve">Where chloride ion content is </w:t>
      </w:r>
      <w:r w:rsidR="001F5DD4" w:rsidRPr="00153550">
        <w:t>determin</w:t>
      </w:r>
      <w:r w:rsidR="001F5DD4">
        <w:t>ed</w:t>
      </w:r>
      <w:r w:rsidR="001F5DD4" w:rsidRPr="00153550">
        <w:t xml:space="preserve"> </w:t>
      </w:r>
      <w:r w:rsidRPr="00153550">
        <w:t xml:space="preserve">by testing </w:t>
      </w:r>
      <w:r w:rsidR="001F5DD4">
        <w:t>i</w:t>
      </w:r>
      <w:r w:rsidR="001F5DD4" w:rsidRPr="00153550">
        <w:t xml:space="preserve">ndividual </w:t>
      </w:r>
      <w:r w:rsidRPr="00153550">
        <w:t>components and calculation, the process must be in accordance with the following:</w:t>
      </w:r>
      <w:bookmarkEnd w:id="51"/>
    </w:p>
    <w:p w14:paraId="2BCC403D" w14:textId="2F090627" w:rsidR="006364DC" w:rsidRPr="00153550" w:rsidRDefault="006364DC" w:rsidP="007D4887">
      <w:pPr>
        <w:pStyle w:val="Bodynumbered2"/>
        <w:numPr>
          <w:ilvl w:val="0"/>
          <w:numId w:val="36"/>
        </w:numPr>
        <w:ind w:left="924" w:hanging="357"/>
      </w:pPr>
      <w:r w:rsidRPr="00153550">
        <w:t xml:space="preserve">Testing of individual components for chloride ion content </w:t>
      </w:r>
      <w:r w:rsidR="001F5DD4">
        <w:t xml:space="preserve">must be </w:t>
      </w:r>
      <w:r w:rsidRPr="00153550">
        <w:t>in accordance with AS 1012.20.1 for aggregates and AS 2350.2 for cementitious materials; and</w:t>
      </w:r>
    </w:p>
    <w:p w14:paraId="55C940B2" w14:textId="4FE5A667" w:rsidR="006364DC" w:rsidRPr="00153550" w:rsidRDefault="006364DC" w:rsidP="007D4887">
      <w:pPr>
        <w:pStyle w:val="Bodynumbered2"/>
        <w:numPr>
          <w:ilvl w:val="0"/>
          <w:numId w:val="36"/>
        </w:numPr>
        <w:ind w:left="924" w:hanging="357"/>
      </w:pPr>
      <w:r w:rsidRPr="00153550">
        <w:t xml:space="preserve">The total chloride content of concrete </w:t>
      </w:r>
      <w:r w:rsidR="001F5DD4">
        <w:t>must be</w:t>
      </w:r>
      <w:r w:rsidR="001F5DD4" w:rsidRPr="00153550">
        <w:t xml:space="preserve"> </w:t>
      </w:r>
      <w:r w:rsidRPr="00153550">
        <w:t xml:space="preserve">determined by the summation of the individual chloride contents of the mix components (cementitious material, aggregates, </w:t>
      </w:r>
      <w:proofErr w:type="gramStart"/>
      <w:r w:rsidRPr="00153550">
        <w:t>water</w:t>
      </w:r>
      <w:proofErr w:type="gramEnd"/>
      <w:r w:rsidRPr="00153550">
        <w:t xml:space="preserve"> and admixtures) in the same proportions as the quantities in the mix design.</w:t>
      </w:r>
    </w:p>
    <w:p w14:paraId="6D0A7FBD" w14:textId="77777777" w:rsidR="00372245" w:rsidRDefault="006364DC" w:rsidP="00153550">
      <w:pPr>
        <w:pStyle w:val="Heading2"/>
      </w:pPr>
      <w:bookmarkStart w:id="52" w:name="_Toc42767692"/>
      <w:r w:rsidRPr="0043355C">
        <w:t>Admixtures</w:t>
      </w:r>
      <w:bookmarkEnd w:id="52"/>
      <w:r w:rsidRPr="0043355C">
        <w:t xml:space="preserve"> </w:t>
      </w:r>
    </w:p>
    <w:p w14:paraId="24C3D305" w14:textId="5BF54FFD" w:rsidR="006364DC" w:rsidRPr="0043355C" w:rsidRDefault="006364DC" w:rsidP="00372245">
      <w:pPr>
        <w:pStyle w:val="BodyText"/>
      </w:pPr>
      <w:r w:rsidRPr="0043355C">
        <w:t>(Refer AS 1597.1 Clause 2.4.5)</w:t>
      </w:r>
    </w:p>
    <w:p w14:paraId="07831EF1" w14:textId="77AB9FEF" w:rsidR="006364DC" w:rsidRPr="00153550" w:rsidRDefault="006364DC" w:rsidP="00153550">
      <w:pPr>
        <w:pStyle w:val="Bodynumbered1"/>
      </w:pPr>
      <w:r w:rsidRPr="00153550">
        <w:t>Admixtures must be used in accordance with AS 1379.</w:t>
      </w:r>
      <w:r w:rsidR="00E65F89">
        <w:t xml:space="preserve"> </w:t>
      </w:r>
    </w:p>
    <w:p w14:paraId="4C46B8E6" w14:textId="251034F2" w:rsidR="006364DC" w:rsidRPr="00153550" w:rsidRDefault="006364DC" w:rsidP="00153550">
      <w:pPr>
        <w:pStyle w:val="Bodynumbered1"/>
      </w:pPr>
      <w:r w:rsidRPr="00153550">
        <w:t xml:space="preserve">Admixtures other than water reducing (WR, MWR, HWR), </w:t>
      </w:r>
      <w:r w:rsidR="001F5DD4">
        <w:t xml:space="preserve">such as </w:t>
      </w:r>
      <w:r w:rsidRPr="00153550">
        <w:t xml:space="preserve">set retarding (Re), set accelerating (Ac), air-entraining (AEA), viscosity modifying admixtures or slump retention admixtures, or a combination of these (for example, </w:t>
      </w:r>
      <w:proofErr w:type="spellStart"/>
      <w:r w:rsidRPr="00153550">
        <w:t>WRRe</w:t>
      </w:r>
      <w:proofErr w:type="spellEnd"/>
      <w:r w:rsidRPr="00153550">
        <w:t>) must not be used.</w:t>
      </w:r>
    </w:p>
    <w:p w14:paraId="503035FB" w14:textId="77777777" w:rsidR="006364DC" w:rsidRPr="00F01DA6" w:rsidRDefault="006364DC" w:rsidP="00153550">
      <w:pPr>
        <w:pStyle w:val="Bodynumbered1"/>
        <w:rPr>
          <w:spacing w:val="-2"/>
        </w:rPr>
      </w:pPr>
      <w:r w:rsidRPr="00F01DA6">
        <w:rPr>
          <w:spacing w:val="-2"/>
        </w:rPr>
        <w:t>Sugar, independent from an AS 1478-complying admixture, must not be used as a set retarding agent.</w:t>
      </w:r>
    </w:p>
    <w:p w14:paraId="6493C3A2" w14:textId="77777777" w:rsidR="006364DC" w:rsidRPr="00153550" w:rsidRDefault="006364DC" w:rsidP="00153550">
      <w:pPr>
        <w:pStyle w:val="Bodynumbered1"/>
      </w:pPr>
      <w:r w:rsidRPr="00153550">
        <w:t>The total alkali contribution (measured as Na</w:t>
      </w:r>
      <w:r w:rsidRPr="00CE3039">
        <w:rPr>
          <w:vertAlign w:val="subscript"/>
        </w:rPr>
        <w:t>2</w:t>
      </w:r>
      <w:r w:rsidRPr="00002A7E">
        <w:t>O</w:t>
      </w:r>
      <w:r w:rsidRPr="00153550">
        <w:t xml:space="preserve"> equivalent) of all admixtures used in a mix must not exceed 0.2 kg/m</w:t>
      </w:r>
      <w:r w:rsidRPr="001F5DD4">
        <w:rPr>
          <w:vertAlign w:val="superscript"/>
        </w:rPr>
        <w:t>3</w:t>
      </w:r>
      <w:r w:rsidRPr="00153550">
        <w:t>.</w:t>
      </w:r>
    </w:p>
    <w:p w14:paraId="13C51BCF" w14:textId="77777777" w:rsidR="006364DC" w:rsidRPr="00153550" w:rsidRDefault="006364DC" w:rsidP="00153550">
      <w:pPr>
        <w:pStyle w:val="Bodynumbered1"/>
      </w:pPr>
      <w:r w:rsidRPr="00153550">
        <w:lastRenderedPageBreak/>
        <w:t xml:space="preserve">Admixtures in a single mix must be sourced from the one supplier, unless approved </w:t>
      </w:r>
      <w:proofErr w:type="gramStart"/>
      <w:r w:rsidRPr="00153550">
        <w:t>on the basis of</w:t>
      </w:r>
      <w:proofErr w:type="gramEnd"/>
      <w:r w:rsidRPr="00153550">
        <w:t xml:space="preserve"> satisfactory mix trials and evidence of performance.</w:t>
      </w:r>
    </w:p>
    <w:p w14:paraId="0BC894A4" w14:textId="4FE28B14" w:rsidR="006364DC" w:rsidRPr="00153550" w:rsidRDefault="006364DC" w:rsidP="00153550">
      <w:pPr>
        <w:pStyle w:val="Bodynumbered1"/>
      </w:pPr>
      <w:r w:rsidRPr="00153550">
        <w:t xml:space="preserve">Where air entrainment is used, the air content of the concrete used must have a maximum value of 6%, as measured by AS 1012.4, unless otherwise specified. The Contractor must provide an approved air content gauging device (which must operate in accordance with the manufacturer’s instructions) at the place of discharge of the concrete from the concrete agitator or on site batch plant (precast applications) so that the air content of the freshly mixed concrete may be accurately determined. In addition, the manufacturer must submit proof that the air content can be sufficiently </w:t>
      </w:r>
      <w:proofErr w:type="gramStart"/>
      <w:r w:rsidRPr="00153550">
        <w:t>controlled</w:t>
      </w:r>
      <w:proofErr w:type="gramEnd"/>
      <w:r w:rsidRPr="00153550">
        <w:t xml:space="preserve"> and that the compressive strength remains in compliance.</w:t>
      </w:r>
    </w:p>
    <w:p w14:paraId="36F92CA7" w14:textId="77777777" w:rsidR="00372245" w:rsidRDefault="006364DC" w:rsidP="00153550">
      <w:pPr>
        <w:pStyle w:val="Heading2"/>
      </w:pPr>
      <w:bookmarkStart w:id="53" w:name="_Toc42767693"/>
      <w:r w:rsidRPr="0043355C">
        <w:t>Concrete Specification and Cover to Reinforcement</w:t>
      </w:r>
      <w:bookmarkEnd w:id="53"/>
      <w:r w:rsidR="00153550">
        <w:t xml:space="preserve"> </w:t>
      </w:r>
    </w:p>
    <w:p w14:paraId="28FB1326" w14:textId="46D365E7" w:rsidR="006364DC" w:rsidRPr="0043355C" w:rsidRDefault="006364DC" w:rsidP="00372245">
      <w:pPr>
        <w:pStyle w:val="BodyText"/>
        <w:rPr>
          <w:lang w:val="en-AU"/>
        </w:rPr>
      </w:pPr>
      <w:r w:rsidRPr="0043355C">
        <w:t xml:space="preserve">(Refer </w:t>
      </w:r>
      <w:bookmarkStart w:id="54" w:name="_Hlk8030546"/>
      <w:r w:rsidRPr="0043355C">
        <w:t xml:space="preserve">AS 1597.1 </w:t>
      </w:r>
      <w:bookmarkEnd w:id="54"/>
      <w:r w:rsidRPr="0043355C">
        <w:t>Clause 2.5)</w:t>
      </w:r>
    </w:p>
    <w:p w14:paraId="431A5BCA" w14:textId="77777777" w:rsidR="006364DC" w:rsidRPr="00153550" w:rsidRDefault="006364DC" w:rsidP="00153550">
      <w:pPr>
        <w:pStyle w:val="Bodynumbered1"/>
      </w:pPr>
      <w:bookmarkStart w:id="55" w:name="_Ref15024094"/>
      <w:bookmarkStart w:id="56" w:name="_Ref6303897"/>
      <w:bookmarkStart w:id="57" w:name="_Hlk4322553"/>
      <w:r w:rsidRPr="00153550">
        <w:t>The concrete mix design(s) used for the manufacture of box culverts must have been submitted to the Principal and approved by the Principal in the preceding 12 months.</w:t>
      </w:r>
      <w:bookmarkEnd w:id="55"/>
      <w:r w:rsidRPr="00153550">
        <w:t xml:space="preserve"> </w:t>
      </w:r>
    </w:p>
    <w:tbl>
      <w:tblPr>
        <w:tblStyle w:val="SimpleTable5"/>
        <w:tblW w:w="9072"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10"/>
        <w:gridCol w:w="6662"/>
      </w:tblGrid>
      <w:tr w:rsidR="006364DC" w:rsidRPr="0043355C" w14:paraId="6C7338C5" w14:textId="77777777" w:rsidTr="00F01DA6">
        <w:trPr>
          <w:cnfStyle w:val="100000000000" w:firstRow="1" w:lastRow="0" w:firstColumn="0" w:lastColumn="0" w:oddVBand="0" w:evenVBand="0" w:oddHBand="0" w:evenHBand="0" w:firstRowFirstColumn="0" w:firstRowLastColumn="0" w:lastRowFirstColumn="0" w:lastRowLastColumn="0"/>
        </w:trPr>
        <w:tc>
          <w:tcPr>
            <w:tcW w:w="9072" w:type="dxa"/>
            <w:gridSpan w:val="2"/>
            <w:shd w:val="clear" w:color="auto" w:fill="004259"/>
          </w:tcPr>
          <w:p w14:paraId="65403D0E" w14:textId="03A55CE1" w:rsidR="006364DC" w:rsidRPr="00602A13" w:rsidRDefault="006364DC" w:rsidP="00372245">
            <w:pPr>
              <w:pStyle w:val="TableHeading"/>
              <w:keepNext/>
              <w:rPr>
                <w:b/>
                <w:bCs/>
              </w:rPr>
            </w:pPr>
            <w:bookmarkStart w:id="58" w:name="_Hlk516753184"/>
            <w:r w:rsidRPr="00602A13">
              <w:rPr>
                <w:b/>
                <w:bCs/>
              </w:rPr>
              <w:t>HOLD POINT 1.</w:t>
            </w:r>
            <w:r w:rsidR="00E65F89">
              <w:rPr>
                <w:b/>
                <w:bCs/>
              </w:rPr>
              <w:t xml:space="preserve"> </w:t>
            </w:r>
          </w:p>
        </w:tc>
      </w:tr>
      <w:tr w:rsidR="006364DC" w:rsidRPr="0043355C" w14:paraId="785C6D29" w14:textId="77777777" w:rsidTr="00F01DA6">
        <w:tc>
          <w:tcPr>
            <w:tcW w:w="2410" w:type="dxa"/>
            <w:shd w:val="clear" w:color="auto" w:fill="D9D9D9" w:themeFill="background1" w:themeFillShade="D9"/>
          </w:tcPr>
          <w:p w14:paraId="1B55D2FB" w14:textId="77777777" w:rsidR="006364DC" w:rsidRPr="0043355C" w:rsidRDefault="006364DC" w:rsidP="00372245">
            <w:pPr>
              <w:pStyle w:val="TableBodyText"/>
              <w:keepNext/>
              <w:rPr>
                <w:b/>
                <w:bCs w:val="0"/>
              </w:rPr>
            </w:pPr>
            <w:r w:rsidRPr="0043355C">
              <w:rPr>
                <w:bCs w:val="0"/>
              </w:rPr>
              <w:t>Process Held</w:t>
            </w:r>
          </w:p>
        </w:tc>
        <w:tc>
          <w:tcPr>
            <w:tcW w:w="6662" w:type="dxa"/>
            <w:shd w:val="clear" w:color="auto" w:fill="D9D9D9" w:themeFill="background1" w:themeFillShade="D9"/>
          </w:tcPr>
          <w:p w14:paraId="468BB2F0" w14:textId="77777777" w:rsidR="006364DC" w:rsidRPr="0043355C" w:rsidRDefault="006364DC" w:rsidP="00372245">
            <w:pPr>
              <w:pStyle w:val="TableBodyText"/>
              <w:keepNext/>
              <w:rPr>
                <w:b/>
                <w:bCs w:val="0"/>
              </w:rPr>
            </w:pPr>
            <w:r w:rsidRPr="0043355C">
              <w:rPr>
                <w:bCs w:val="0"/>
              </w:rPr>
              <w:t>Supply of Culvert Components</w:t>
            </w:r>
          </w:p>
        </w:tc>
      </w:tr>
      <w:tr w:rsidR="006364DC" w:rsidRPr="0043355C" w14:paraId="48BB0518" w14:textId="77777777" w:rsidTr="00F01DA6">
        <w:tc>
          <w:tcPr>
            <w:tcW w:w="2410" w:type="dxa"/>
            <w:shd w:val="clear" w:color="auto" w:fill="D9D9D9" w:themeFill="background1" w:themeFillShade="D9"/>
          </w:tcPr>
          <w:p w14:paraId="0CD4C525" w14:textId="77777777" w:rsidR="006364DC" w:rsidRPr="0043355C" w:rsidRDefault="006364DC" w:rsidP="00372245">
            <w:pPr>
              <w:pStyle w:val="TableBodyText"/>
              <w:keepNext/>
              <w:rPr>
                <w:b/>
                <w:bCs w:val="0"/>
              </w:rPr>
            </w:pPr>
            <w:r w:rsidRPr="0043355C">
              <w:rPr>
                <w:bCs w:val="0"/>
              </w:rPr>
              <w:t>Submission Details</w:t>
            </w:r>
          </w:p>
        </w:tc>
        <w:tc>
          <w:tcPr>
            <w:tcW w:w="6662" w:type="dxa"/>
            <w:shd w:val="clear" w:color="auto" w:fill="D9D9D9" w:themeFill="background1" w:themeFillShade="D9"/>
          </w:tcPr>
          <w:p w14:paraId="599BCAAC" w14:textId="77777777" w:rsidR="006364DC" w:rsidRPr="0043355C" w:rsidRDefault="006364DC" w:rsidP="00372245">
            <w:pPr>
              <w:pStyle w:val="TableBodyText"/>
              <w:keepNext/>
              <w:rPr>
                <w:b/>
                <w:bCs w:val="0"/>
              </w:rPr>
            </w:pPr>
            <w:r w:rsidRPr="0043355C">
              <w:rPr>
                <w:bCs w:val="0"/>
              </w:rPr>
              <w:t>Evidence that the manufacturer has submitted its concrete mix design to the Principal within the preceding 12 months must be provided at least 2 weeks prior to the delivery of the Culvert Components.</w:t>
            </w:r>
          </w:p>
        </w:tc>
      </w:tr>
    </w:tbl>
    <w:bookmarkEnd w:id="56"/>
    <w:bookmarkEnd w:id="57"/>
    <w:bookmarkEnd w:id="58"/>
    <w:p w14:paraId="49BF570A" w14:textId="76BA31F3" w:rsidR="006364DC" w:rsidRPr="00153550" w:rsidRDefault="006364DC" w:rsidP="00153550">
      <w:pPr>
        <w:pStyle w:val="Bodynumbered1"/>
      </w:pPr>
      <w:r w:rsidRPr="00153550">
        <w:t>The specified slump for conventional concrete must be in the range of 80 mm to 180 mm with acceptance tolerances in accordance with AS 1379.</w:t>
      </w:r>
      <w:r w:rsidR="00E65F89">
        <w:t xml:space="preserve"> </w:t>
      </w:r>
    </w:p>
    <w:p w14:paraId="4C7AF4FF" w14:textId="7ABA796E" w:rsidR="006364DC" w:rsidRDefault="006364DC" w:rsidP="00153550">
      <w:pPr>
        <w:pStyle w:val="Bodynumbered1"/>
      </w:pPr>
      <w:bookmarkStart w:id="59" w:name="_Ref15025579"/>
      <w:bookmarkStart w:id="60" w:name="_Ref35438560"/>
      <w:r w:rsidRPr="00153550">
        <w:t xml:space="preserve">Any </w:t>
      </w:r>
      <w:proofErr w:type="spellStart"/>
      <w:r w:rsidRPr="00153550">
        <w:t>superworkable</w:t>
      </w:r>
      <w:proofErr w:type="spellEnd"/>
      <w:r w:rsidRPr="00153550">
        <w:t xml:space="preserve"> concrete must comply with Table </w:t>
      </w:r>
      <w:r w:rsidRPr="00153550">
        <w:fldChar w:fldCharType="begin"/>
      </w:r>
      <w:r w:rsidRPr="00153550">
        <w:instrText xml:space="preserve"> REF _Ref35438560 \r \h  \* MERGEFORMAT </w:instrText>
      </w:r>
      <w:r w:rsidRPr="00153550">
        <w:fldChar w:fldCharType="separate"/>
      </w:r>
      <w:r w:rsidRPr="00153550">
        <w:t>6.28</w:t>
      </w:r>
      <w:r w:rsidRPr="00153550">
        <w:fldChar w:fldCharType="end"/>
      </w:r>
      <w:bookmarkEnd w:id="59"/>
      <w:bookmarkEnd w:id="60"/>
      <w:r w:rsidRPr="00153550">
        <w:t>.</w:t>
      </w:r>
    </w:p>
    <w:p w14:paraId="5ED16B9E" w14:textId="231A7394" w:rsidR="00F01DA6" w:rsidRPr="00153550" w:rsidRDefault="00F01DA6" w:rsidP="00F01DA6">
      <w:pPr>
        <w:pStyle w:val="Caption"/>
      </w:pPr>
      <w:bookmarkStart w:id="61" w:name="_Hlk15025611"/>
      <w:r w:rsidRPr="00153550">
        <w:t>Table</w:t>
      </w:r>
      <w:bookmarkEnd w:id="61"/>
      <w:r w:rsidRPr="00153550">
        <w:t xml:space="preserve"> </w:t>
      </w:r>
      <w:r w:rsidRPr="00153550">
        <w:fldChar w:fldCharType="begin"/>
      </w:r>
      <w:r w:rsidRPr="00153550">
        <w:instrText xml:space="preserve"> REF _Ref35438560 \r \h  \* MERGEFORMAT </w:instrText>
      </w:r>
      <w:r w:rsidRPr="00153550">
        <w:fldChar w:fldCharType="separate"/>
      </w:r>
      <w:r w:rsidRPr="00153550">
        <w:t>6.28</w:t>
      </w:r>
      <w:r w:rsidRPr="00153550">
        <w:fldChar w:fldCharType="end"/>
      </w:r>
      <w:r>
        <w:t>:</w:t>
      </w:r>
      <w:r w:rsidRPr="00153550">
        <w:t xml:space="preserve"> </w:t>
      </w:r>
      <w:proofErr w:type="spellStart"/>
      <w:r w:rsidRPr="00153550">
        <w:t>Superworkable</w:t>
      </w:r>
      <w:proofErr w:type="spellEnd"/>
      <w:r w:rsidRPr="00153550">
        <w:t xml:space="preserve"> </w:t>
      </w:r>
      <w:r>
        <w:t>c</w:t>
      </w:r>
      <w:r w:rsidRPr="00153550">
        <w:t>oncrete</w:t>
      </w:r>
    </w:p>
    <w:tbl>
      <w:tblPr>
        <w:tblStyle w:val="SimpleTable7"/>
        <w:tblW w:w="9072"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CellMar>
          <w:left w:w="113" w:type="dxa"/>
          <w:right w:w="28" w:type="dxa"/>
        </w:tblCellMar>
        <w:tblLook w:val="04A0" w:firstRow="1" w:lastRow="0" w:firstColumn="1" w:lastColumn="0" w:noHBand="0" w:noVBand="1"/>
      </w:tblPr>
      <w:tblGrid>
        <w:gridCol w:w="5529"/>
        <w:gridCol w:w="3543"/>
      </w:tblGrid>
      <w:tr w:rsidR="006364DC" w:rsidRPr="0043355C" w14:paraId="54C5D93D" w14:textId="77777777" w:rsidTr="00F01DA6">
        <w:tc>
          <w:tcPr>
            <w:tcW w:w="5529" w:type="dxa"/>
            <w:shd w:val="clear" w:color="auto" w:fill="BFBFBF" w:themeFill="background1" w:themeFillShade="BF"/>
          </w:tcPr>
          <w:p w14:paraId="2663BB62" w14:textId="77777777" w:rsidR="006364DC" w:rsidRPr="00153550" w:rsidRDefault="006364DC" w:rsidP="00020B79">
            <w:pPr>
              <w:pStyle w:val="TableHeading"/>
              <w:rPr>
                <w:b w:val="0"/>
                <w:bCs/>
                <w:color w:val="000000" w:themeColor="text1"/>
              </w:rPr>
            </w:pPr>
            <w:r w:rsidRPr="00153550">
              <w:rPr>
                <w:bCs/>
                <w:color w:val="000000" w:themeColor="text1"/>
              </w:rPr>
              <w:t>Property</w:t>
            </w:r>
          </w:p>
        </w:tc>
        <w:tc>
          <w:tcPr>
            <w:tcW w:w="3543" w:type="dxa"/>
            <w:shd w:val="clear" w:color="auto" w:fill="BFBFBF" w:themeFill="background1" w:themeFillShade="BF"/>
          </w:tcPr>
          <w:p w14:paraId="5B187824" w14:textId="7655DA99" w:rsidR="006364DC" w:rsidRPr="00153550" w:rsidRDefault="006364DC" w:rsidP="00020B79">
            <w:pPr>
              <w:pStyle w:val="TableHeading"/>
              <w:rPr>
                <w:b w:val="0"/>
                <w:bCs/>
                <w:color w:val="000000" w:themeColor="text1"/>
              </w:rPr>
            </w:pPr>
            <w:r w:rsidRPr="00153550">
              <w:rPr>
                <w:bCs/>
                <w:color w:val="000000" w:themeColor="text1"/>
              </w:rPr>
              <w:t xml:space="preserve">Acceptance </w:t>
            </w:r>
            <w:r w:rsidR="001A6E99">
              <w:rPr>
                <w:bCs/>
                <w:color w:val="000000" w:themeColor="text1"/>
              </w:rPr>
              <w:t>l</w:t>
            </w:r>
            <w:r w:rsidRPr="00153550">
              <w:rPr>
                <w:bCs/>
                <w:color w:val="000000" w:themeColor="text1"/>
              </w:rPr>
              <w:t>imits</w:t>
            </w:r>
          </w:p>
        </w:tc>
      </w:tr>
      <w:tr w:rsidR="006364DC" w:rsidRPr="0043355C" w14:paraId="1BE0BC7A" w14:textId="77777777" w:rsidTr="00F01DA6">
        <w:tc>
          <w:tcPr>
            <w:tcW w:w="5529" w:type="dxa"/>
            <w:shd w:val="clear" w:color="auto" w:fill="D9D9D9" w:themeFill="background1" w:themeFillShade="D9"/>
          </w:tcPr>
          <w:p w14:paraId="452BE309" w14:textId="77777777" w:rsidR="006364DC" w:rsidRPr="00153550" w:rsidRDefault="006364DC" w:rsidP="00153550">
            <w:pPr>
              <w:pStyle w:val="TableBodyText"/>
            </w:pPr>
            <w:r w:rsidRPr="00153550">
              <w:t>Spread:</w:t>
            </w:r>
          </w:p>
        </w:tc>
        <w:tc>
          <w:tcPr>
            <w:tcW w:w="3543" w:type="dxa"/>
            <w:shd w:val="clear" w:color="auto" w:fill="D9D9D9" w:themeFill="background1" w:themeFillShade="D9"/>
          </w:tcPr>
          <w:p w14:paraId="3FB19CFF" w14:textId="77777777" w:rsidR="006364DC" w:rsidRPr="00153550" w:rsidRDefault="006364DC" w:rsidP="00153550">
            <w:pPr>
              <w:pStyle w:val="TableBodyText"/>
            </w:pPr>
            <w:r w:rsidRPr="00153550">
              <w:t xml:space="preserve">700mm with tolerance of ± 50 mm </w:t>
            </w:r>
          </w:p>
        </w:tc>
      </w:tr>
      <w:tr w:rsidR="006364DC" w:rsidRPr="0043355C" w14:paraId="055E39FD" w14:textId="77777777" w:rsidTr="00F01DA6">
        <w:tc>
          <w:tcPr>
            <w:tcW w:w="5529" w:type="dxa"/>
            <w:shd w:val="clear" w:color="auto" w:fill="D9D9D9" w:themeFill="background1" w:themeFillShade="D9"/>
          </w:tcPr>
          <w:p w14:paraId="17AB65FF" w14:textId="77777777" w:rsidR="006364DC" w:rsidRPr="00153550" w:rsidRDefault="006364DC" w:rsidP="00153550">
            <w:pPr>
              <w:pStyle w:val="TableBodyText"/>
            </w:pPr>
            <w:r w:rsidRPr="00153550">
              <w:t xml:space="preserve">T500 time: </w:t>
            </w:r>
          </w:p>
        </w:tc>
        <w:tc>
          <w:tcPr>
            <w:tcW w:w="3543" w:type="dxa"/>
            <w:shd w:val="clear" w:color="auto" w:fill="D9D9D9" w:themeFill="background1" w:themeFillShade="D9"/>
          </w:tcPr>
          <w:p w14:paraId="25749AAA" w14:textId="77777777" w:rsidR="006364DC" w:rsidRPr="00153550" w:rsidRDefault="006364DC" w:rsidP="00153550">
            <w:pPr>
              <w:pStyle w:val="TableBodyText"/>
            </w:pPr>
            <w:r w:rsidRPr="00153550">
              <w:t>≤ 5 seconds</w:t>
            </w:r>
          </w:p>
        </w:tc>
      </w:tr>
      <w:tr w:rsidR="006364DC" w:rsidRPr="0043355C" w14:paraId="214A9029" w14:textId="77777777" w:rsidTr="00F01DA6">
        <w:tc>
          <w:tcPr>
            <w:tcW w:w="5529" w:type="dxa"/>
            <w:shd w:val="clear" w:color="auto" w:fill="D9D9D9" w:themeFill="background1" w:themeFillShade="D9"/>
          </w:tcPr>
          <w:p w14:paraId="0AE3444E" w14:textId="4EEEF97D" w:rsidR="006364DC" w:rsidRPr="00153550" w:rsidRDefault="006364DC" w:rsidP="00153550">
            <w:pPr>
              <w:pStyle w:val="TableBodyText"/>
            </w:pPr>
            <w:r w:rsidRPr="00153550">
              <w:t>RCPT test value (tested in accordance with ASTM C1202)</w:t>
            </w:r>
            <w:r w:rsidR="00F01DA6">
              <w:t>:</w:t>
            </w:r>
          </w:p>
        </w:tc>
        <w:tc>
          <w:tcPr>
            <w:tcW w:w="3543" w:type="dxa"/>
            <w:shd w:val="clear" w:color="auto" w:fill="D9D9D9" w:themeFill="background1" w:themeFillShade="D9"/>
          </w:tcPr>
          <w:p w14:paraId="4BC009F3" w14:textId="77777777" w:rsidR="006364DC" w:rsidRPr="00153550" w:rsidRDefault="006364DC" w:rsidP="00153550">
            <w:pPr>
              <w:pStyle w:val="TableBodyText"/>
            </w:pPr>
            <w:r w:rsidRPr="00153550">
              <w:t>Maximum 1000 coulombs at 56 days.</w:t>
            </w:r>
          </w:p>
        </w:tc>
      </w:tr>
    </w:tbl>
    <w:p w14:paraId="4489496A" w14:textId="58276B85" w:rsidR="006364DC" w:rsidRPr="00153550" w:rsidRDefault="006364DC" w:rsidP="00153550">
      <w:pPr>
        <w:pStyle w:val="Bodynumbered1"/>
      </w:pPr>
      <w:r w:rsidRPr="00153550">
        <w:t>The concrete mix design details must include the following:</w:t>
      </w:r>
    </w:p>
    <w:p w14:paraId="61D23D26" w14:textId="4A1CE4A1" w:rsidR="006364DC" w:rsidRPr="00153550" w:rsidRDefault="00E65F89" w:rsidP="00F01DA6">
      <w:pPr>
        <w:pStyle w:val="Bodynumbered2"/>
        <w:numPr>
          <w:ilvl w:val="0"/>
          <w:numId w:val="37"/>
        </w:numPr>
        <w:spacing w:before="60" w:after="60"/>
        <w:ind w:left="924" w:hanging="357"/>
      </w:pPr>
      <w:r>
        <w:t>N</w:t>
      </w:r>
      <w:r w:rsidR="006364DC" w:rsidRPr="00153550">
        <w:t xml:space="preserve">ominated range of applicable products </w:t>
      </w:r>
    </w:p>
    <w:p w14:paraId="5980CC3F" w14:textId="3280743B" w:rsidR="006364DC" w:rsidRPr="00153550" w:rsidRDefault="006364DC" w:rsidP="00F01DA6">
      <w:pPr>
        <w:pStyle w:val="Bodynumbered2"/>
        <w:numPr>
          <w:ilvl w:val="0"/>
          <w:numId w:val="37"/>
        </w:numPr>
        <w:spacing w:before="60" w:after="60"/>
        <w:ind w:left="924" w:hanging="357"/>
      </w:pPr>
      <w:r w:rsidRPr="00153550">
        <w:t>Mix identifier</w:t>
      </w:r>
    </w:p>
    <w:p w14:paraId="3D2866E0" w14:textId="77777777" w:rsidR="006364DC" w:rsidRPr="00153550" w:rsidRDefault="006364DC" w:rsidP="00F01DA6">
      <w:pPr>
        <w:pStyle w:val="Bodynumbered2"/>
        <w:numPr>
          <w:ilvl w:val="0"/>
          <w:numId w:val="37"/>
        </w:numPr>
        <w:spacing w:before="60" w:after="60"/>
        <w:ind w:left="924" w:hanging="357"/>
      </w:pPr>
      <w:r w:rsidRPr="00153550">
        <w:t>Strength grade of concrete</w:t>
      </w:r>
    </w:p>
    <w:p w14:paraId="51FF7EFC" w14:textId="77777777" w:rsidR="006364DC" w:rsidRPr="00153550" w:rsidRDefault="006364DC" w:rsidP="00F01DA6">
      <w:pPr>
        <w:pStyle w:val="Bodynumbered2"/>
        <w:numPr>
          <w:ilvl w:val="0"/>
          <w:numId w:val="37"/>
        </w:numPr>
        <w:spacing w:before="60" w:after="60"/>
        <w:ind w:left="924" w:hanging="357"/>
      </w:pPr>
      <w:r w:rsidRPr="00153550">
        <w:t>Nominated slump or spread</w:t>
      </w:r>
    </w:p>
    <w:p w14:paraId="51B75AB2" w14:textId="77777777" w:rsidR="006364DC" w:rsidRPr="00153550" w:rsidRDefault="006364DC" w:rsidP="00F01DA6">
      <w:pPr>
        <w:pStyle w:val="Bodynumbered2"/>
        <w:numPr>
          <w:ilvl w:val="0"/>
          <w:numId w:val="37"/>
        </w:numPr>
        <w:spacing w:before="60" w:after="60"/>
        <w:ind w:left="924" w:hanging="357"/>
      </w:pPr>
      <w:r w:rsidRPr="00153550">
        <w:t>Name of concrete supplier</w:t>
      </w:r>
    </w:p>
    <w:p w14:paraId="021F2DA5" w14:textId="77777777" w:rsidR="006364DC" w:rsidRPr="00153550" w:rsidRDefault="006364DC" w:rsidP="00F01DA6">
      <w:pPr>
        <w:pStyle w:val="Bodynumbered2"/>
        <w:numPr>
          <w:ilvl w:val="0"/>
          <w:numId w:val="37"/>
        </w:numPr>
        <w:spacing w:before="60" w:after="60"/>
        <w:ind w:left="924" w:hanging="357"/>
      </w:pPr>
      <w:r w:rsidRPr="00153550">
        <w:t>Location of batch plant</w:t>
      </w:r>
    </w:p>
    <w:p w14:paraId="0126B14B" w14:textId="77777777" w:rsidR="006364DC" w:rsidRPr="00153550" w:rsidRDefault="006364DC" w:rsidP="00F01DA6">
      <w:pPr>
        <w:pStyle w:val="Bodynumbered2"/>
        <w:numPr>
          <w:ilvl w:val="0"/>
          <w:numId w:val="37"/>
        </w:numPr>
        <w:spacing w:before="60" w:after="60"/>
        <w:ind w:left="924" w:hanging="357"/>
      </w:pPr>
      <w:r w:rsidRPr="00153550">
        <w:t>Nominated source materials</w:t>
      </w:r>
    </w:p>
    <w:p w14:paraId="446C2D04" w14:textId="40E61424" w:rsidR="006364DC" w:rsidRPr="00153550" w:rsidRDefault="006364DC" w:rsidP="00F01DA6">
      <w:pPr>
        <w:pStyle w:val="Bodynumbered2"/>
        <w:numPr>
          <w:ilvl w:val="0"/>
          <w:numId w:val="37"/>
        </w:numPr>
        <w:spacing w:before="60" w:after="60"/>
        <w:ind w:left="924" w:hanging="357"/>
      </w:pPr>
      <w:r w:rsidRPr="00153550">
        <w:t>Cementitious material (with ATIC reference)</w:t>
      </w:r>
    </w:p>
    <w:p w14:paraId="0507C7B8" w14:textId="77777777" w:rsidR="006364DC" w:rsidRPr="00153550" w:rsidRDefault="006364DC" w:rsidP="00F01DA6">
      <w:pPr>
        <w:pStyle w:val="Bodynumbered2"/>
        <w:numPr>
          <w:ilvl w:val="0"/>
          <w:numId w:val="37"/>
        </w:numPr>
        <w:spacing w:before="60" w:after="60"/>
        <w:ind w:left="924" w:hanging="357"/>
      </w:pPr>
      <w:r w:rsidRPr="00153550">
        <w:t>Aggregates (with quarry details and appropriate test results)</w:t>
      </w:r>
    </w:p>
    <w:p w14:paraId="16859957" w14:textId="77777777" w:rsidR="006364DC" w:rsidRPr="00153550" w:rsidRDefault="006364DC" w:rsidP="00F01DA6">
      <w:pPr>
        <w:pStyle w:val="Bodynumbered2"/>
        <w:numPr>
          <w:ilvl w:val="0"/>
          <w:numId w:val="37"/>
        </w:numPr>
        <w:spacing w:before="60" w:after="60"/>
        <w:ind w:left="924" w:hanging="357"/>
      </w:pPr>
      <w:r w:rsidRPr="00153550">
        <w:t>Admixtures</w:t>
      </w:r>
    </w:p>
    <w:p w14:paraId="1E585AA0" w14:textId="77777777" w:rsidR="006364DC" w:rsidRPr="00153550" w:rsidRDefault="006364DC" w:rsidP="00F01DA6">
      <w:pPr>
        <w:pStyle w:val="Bodynumbered2"/>
        <w:numPr>
          <w:ilvl w:val="0"/>
          <w:numId w:val="37"/>
        </w:numPr>
        <w:spacing w:before="60" w:after="60"/>
        <w:ind w:left="924" w:hanging="357"/>
      </w:pPr>
      <w:r w:rsidRPr="00153550">
        <w:t>Nominated cementitious blend</w:t>
      </w:r>
    </w:p>
    <w:p w14:paraId="3E99728F" w14:textId="77777777" w:rsidR="006364DC" w:rsidRPr="00153550" w:rsidRDefault="006364DC" w:rsidP="00F01DA6">
      <w:pPr>
        <w:pStyle w:val="Bodynumbered2"/>
        <w:numPr>
          <w:ilvl w:val="0"/>
          <w:numId w:val="37"/>
        </w:numPr>
        <w:spacing w:before="60" w:after="60"/>
        <w:ind w:left="924" w:hanging="357"/>
      </w:pPr>
      <w:r w:rsidRPr="00153550">
        <w:t xml:space="preserve">Chloride content test results (refer Clause </w:t>
      </w:r>
      <w:r w:rsidRPr="00153550">
        <w:fldChar w:fldCharType="begin"/>
      </w:r>
      <w:r w:rsidRPr="00153550">
        <w:instrText xml:space="preserve"> REF _Ref39478012 \r \h  \* MERGEFORMAT </w:instrText>
      </w:r>
      <w:r w:rsidRPr="00153550">
        <w:fldChar w:fldCharType="separate"/>
      </w:r>
      <w:r w:rsidRPr="00153550">
        <w:t>6.16</w:t>
      </w:r>
      <w:r w:rsidRPr="00153550">
        <w:fldChar w:fldCharType="end"/>
      </w:r>
      <w:r w:rsidRPr="00153550">
        <w:t xml:space="preserve"> and AS/NZS AS 1597.1 Clause 2.4.6)</w:t>
      </w:r>
    </w:p>
    <w:p w14:paraId="1FCCA7E6" w14:textId="77777777" w:rsidR="006364DC" w:rsidRPr="00153550" w:rsidRDefault="006364DC" w:rsidP="00153550">
      <w:pPr>
        <w:pStyle w:val="Bodynumbered1"/>
      </w:pPr>
      <w:r w:rsidRPr="00153550">
        <w:t>If recycled water is used, test results demonstrating that the water does not contain contaminates harmful to concrete and evidence of previous performance must be submitted with the mix design.</w:t>
      </w:r>
    </w:p>
    <w:p w14:paraId="0951F521" w14:textId="77777777" w:rsidR="006364DC" w:rsidRPr="00153550" w:rsidRDefault="006364DC" w:rsidP="00153550">
      <w:pPr>
        <w:pStyle w:val="Bodynumbered1"/>
      </w:pPr>
      <w:r w:rsidRPr="00153550">
        <w:lastRenderedPageBreak/>
        <w:t>Concrete must comply with the requirements of AS 1379 and this Specification.</w:t>
      </w:r>
    </w:p>
    <w:p w14:paraId="2835ACE9" w14:textId="35858E60" w:rsidR="006364DC" w:rsidRDefault="006364DC" w:rsidP="00153550">
      <w:pPr>
        <w:pStyle w:val="Bodynumbered1"/>
      </w:pPr>
      <w:bookmarkStart w:id="62" w:name="_Ref6217306"/>
      <w:r w:rsidRPr="00153550">
        <w:t xml:space="preserve">The </w:t>
      </w:r>
      <w:bookmarkStart w:id="63" w:name="_Hlk14873951"/>
      <w:r w:rsidRPr="00153550">
        <w:t>Culvert Components must comply with</w:t>
      </w:r>
      <w:bookmarkEnd w:id="63"/>
      <w:r w:rsidRPr="00153550">
        <w:t xml:space="preserve"> Table </w:t>
      </w:r>
      <w:r w:rsidRPr="00153550">
        <w:fldChar w:fldCharType="begin"/>
      </w:r>
      <w:r w:rsidRPr="00153550">
        <w:instrText xml:space="preserve"> REF _Ref6217306 \r \h  \* MERGEFORMAT </w:instrText>
      </w:r>
      <w:r w:rsidRPr="00153550">
        <w:fldChar w:fldCharType="separate"/>
      </w:r>
      <w:r w:rsidRPr="00153550">
        <w:t>6.32</w:t>
      </w:r>
      <w:r w:rsidRPr="00153550">
        <w:fldChar w:fldCharType="end"/>
      </w:r>
      <w:r w:rsidRPr="00153550">
        <w:t>, which replaces Table 2.3 of AS 1597.1</w:t>
      </w:r>
      <w:bookmarkEnd w:id="62"/>
      <w:r w:rsidR="00F01DA6">
        <w:t>.</w:t>
      </w:r>
    </w:p>
    <w:p w14:paraId="5FB3D6E9" w14:textId="2AD5DC88" w:rsidR="00F01DA6" w:rsidRPr="00153550" w:rsidRDefault="00F01DA6" w:rsidP="00F01DA6">
      <w:pPr>
        <w:pStyle w:val="Caption"/>
      </w:pPr>
      <w:r w:rsidRPr="00153550">
        <w:t xml:space="preserve">Table </w:t>
      </w:r>
      <w:r w:rsidRPr="00153550">
        <w:fldChar w:fldCharType="begin"/>
      </w:r>
      <w:r w:rsidRPr="00153550">
        <w:instrText xml:space="preserve"> REF _Ref6217306 \r \h  \* MERGEFORMAT </w:instrText>
      </w:r>
      <w:r w:rsidRPr="00153550">
        <w:fldChar w:fldCharType="separate"/>
      </w:r>
      <w:r w:rsidRPr="00153550">
        <w:t>6.32</w:t>
      </w:r>
      <w:r w:rsidRPr="00153550">
        <w:fldChar w:fldCharType="end"/>
      </w:r>
      <w:r w:rsidRPr="00153550">
        <w:t xml:space="preserve">: Concrete </w:t>
      </w:r>
      <w:r>
        <w:t>s</w:t>
      </w:r>
      <w:r w:rsidRPr="00153550">
        <w:t xml:space="preserve">pecification and </w:t>
      </w:r>
      <w:r>
        <w:t>n</w:t>
      </w:r>
      <w:r w:rsidRPr="00153550">
        <w:t xml:space="preserve">ominal </w:t>
      </w:r>
      <w:r>
        <w:t>c</w:t>
      </w:r>
      <w:r w:rsidRPr="00153550">
        <w:t xml:space="preserve">over to </w:t>
      </w:r>
      <w:r>
        <w:t>r</w:t>
      </w:r>
      <w:r w:rsidRPr="00153550">
        <w:t>einforcement</w:t>
      </w:r>
    </w:p>
    <w:tbl>
      <w:tblPr>
        <w:tblStyle w:val="TableGrid"/>
        <w:tblW w:w="9072"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CellMar>
          <w:left w:w="28" w:type="dxa"/>
          <w:right w:w="28" w:type="dxa"/>
        </w:tblCellMar>
        <w:tblLook w:val="04A0" w:firstRow="1" w:lastRow="0" w:firstColumn="1" w:lastColumn="0" w:noHBand="0" w:noVBand="1"/>
      </w:tblPr>
      <w:tblGrid>
        <w:gridCol w:w="1417"/>
        <w:gridCol w:w="1418"/>
        <w:gridCol w:w="1701"/>
        <w:gridCol w:w="1512"/>
        <w:gridCol w:w="1512"/>
        <w:gridCol w:w="1512"/>
      </w:tblGrid>
      <w:tr w:rsidR="00F01DA6" w:rsidRPr="0043355C" w14:paraId="6563C9F8" w14:textId="77777777" w:rsidTr="00F01DA6">
        <w:trPr>
          <w:trHeight w:val="473"/>
        </w:trPr>
        <w:tc>
          <w:tcPr>
            <w:tcW w:w="1417" w:type="dxa"/>
            <w:vMerge w:val="restart"/>
            <w:shd w:val="clear" w:color="auto" w:fill="BFBFBF" w:themeFill="background1" w:themeFillShade="BF"/>
            <w:vAlign w:val="center"/>
          </w:tcPr>
          <w:p w14:paraId="6CFE655C" w14:textId="255ED39A" w:rsidR="00F01DA6" w:rsidRPr="00153550" w:rsidRDefault="00F01DA6" w:rsidP="00F01DA6">
            <w:pPr>
              <w:pStyle w:val="TableHeading"/>
              <w:keepNext/>
              <w:jc w:val="center"/>
              <w:rPr>
                <w:b w:val="0"/>
                <w:bCs/>
                <w:color w:val="000000" w:themeColor="text1"/>
                <w:szCs w:val="20"/>
              </w:rPr>
            </w:pPr>
            <w:bookmarkStart w:id="64" w:name="_Hlk15029569"/>
            <w:r w:rsidRPr="00153550">
              <w:rPr>
                <w:bCs/>
                <w:color w:val="000000" w:themeColor="text1"/>
                <w:szCs w:val="20"/>
              </w:rPr>
              <w:t xml:space="preserve">Exposure </w:t>
            </w:r>
            <w:r>
              <w:rPr>
                <w:bCs/>
                <w:color w:val="000000" w:themeColor="text1"/>
                <w:szCs w:val="20"/>
              </w:rPr>
              <w:t>c</w:t>
            </w:r>
            <w:r w:rsidRPr="00153550">
              <w:rPr>
                <w:bCs/>
                <w:color w:val="000000" w:themeColor="text1"/>
                <w:szCs w:val="20"/>
              </w:rPr>
              <w:t>lassification</w:t>
            </w:r>
          </w:p>
          <w:p w14:paraId="76837095" w14:textId="77777777" w:rsidR="00F01DA6" w:rsidRPr="00153550" w:rsidRDefault="00F01DA6" w:rsidP="00F01DA6">
            <w:pPr>
              <w:pStyle w:val="TableHeading"/>
              <w:keepNext/>
              <w:jc w:val="center"/>
              <w:rPr>
                <w:b w:val="0"/>
                <w:bCs/>
                <w:color w:val="000000" w:themeColor="text1"/>
                <w:szCs w:val="20"/>
              </w:rPr>
            </w:pPr>
          </w:p>
        </w:tc>
        <w:tc>
          <w:tcPr>
            <w:tcW w:w="1418" w:type="dxa"/>
            <w:vMerge w:val="restart"/>
            <w:shd w:val="clear" w:color="auto" w:fill="BFBFBF" w:themeFill="background1" w:themeFillShade="BF"/>
            <w:vAlign w:val="center"/>
          </w:tcPr>
          <w:p w14:paraId="2B82EF34" w14:textId="7EE5E7DD" w:rsidR="00F01DA6" w:rsidRPr="00153550" w:rsidRDefault="00F01DA6" w:rsidP="00F01DA6">
            <w:pPr>
              <w:pStyle w:val="TableHeading"/>
              <w:keepNext/>
              <w:jc w:val="center"/>
              <w:rPr>
                <w:b w:val="0"/>
                <w:bCs/>
                <w:color w:val="000000" w:themeColor="text1"/>
                <w:szCs w:val="20"/>
              </w:rPr>
            </w:pPr>
            <w:r w:rsidRPr="00153550">
              <w:rPr>
                <w:bCs/>
                <w:color w:val="000000" w:themeColor="text1"/>
                <w:szCs w:val="20"/>
              </w:rPr>
              <w:t xml:space="preserve">Minimum </w:t>
            </w:r>
            <w:r>
              <w:rPr>
                <w:bCs/>
                <w:color w:val="000000" w:themeColor="text1"/>
                <w:szCs w:val="20"/>
              </w:rPr>
              <w:t>c</w:t>
            </w:r>
            <w:r w:rsidRPr="00153550">
              <w:rPr>
                <w:bCs/>
                <w:color w:val="000000" w:themeColor="text1"/>
                <w:szCs w:val="20"/>
              </w:rPr>
              <w:t xml:space="preserve">ementitious </w:t>
            </w:r>
            <w:r>
              <w:rPr>
                <w:bCs/>
                <w:color w:val="000000" w:themeColor="text1"/>
                <w:szCs w:val="20"/>
              </w:rPr>
              <w:t>m</w:t>
            </w:r>
            <w:r w:rsidRPr="00153550">
              <w:rPr>
                <w:bCs/>
                <w:color w:val="000000" w:themeColor="text1"/>
                <w:szCs w:val="20"/>
              </w:rPr>
              <w:t xml:space="preserve">aterial </w:t>
            </w:r>
            <w:r>
              <w:rPr>
                <w:bCs/>
                <w:color w:val="000000" w:themeColor="text1"/>
                <w:szCs w:val="20"/>
              </w:rPr>
              <w:t>c</w:t>
            </w:r>
            <w:r w:rsidRPr="00153550">
              <w:rPr>
                <w:bCs/>
                <w:color w:val="000000" w:themeColor="text1"/>
                <w:szCs w:val="20"/>
              </w:rPr>
              <w:t>ontent</w:t>
            </w:r>
          </w:p>
        </w:tc>
        <w:tc>
          <w:tcPr>
            <w:tcW w:w="1701" w:type="dxa"/>
            <w:vMerge w:val="restart"/>
            <w:shd w:val="clear" w:color="auto" w:fill="BFBFBF" w:themeFill="background1" w:themeFillShade="BF"/>
            <w:vAlign w:val="center"/>
          </w:tcPr>
          <w:p w14:paraId="591F6718" w14:textId="0B02CAEB" w:rsidR="00F01DA6" w:rsidRPr="00153550" w:rsidRDefault="00F01DA6" w:rsidP="00F01DA6">
            <w:pPr>
              <w:pStyle w:val="TableHeading"/>
              <w:keepNext/>
              <w:jc w:val="center"/>
              <w:rPr>
                <w:b w:val="0"/>
                <w:bCs/>
                <w:color w:val="000000" w:themeColor="text1"/>
                <w:szCs w:val="20"/>
              </w:rPr>
            </w:pPr>
            <w:r w:rsidRPr="00153550">
              <w:rPr>
                <w:bCs/>
                <w:color w:val="000000" w:themeColor="text1"/>
                <w:szCs w:val="20"/>
              </w:rPr>
              <w:t xml:space="preserve">Maximum </w:t>
            </w:r>
            <w:r>
              <w:rPr>
                <w:bCs/>
                <w:color w:val="000000" w:themeColor="text1"/>
                <w:szCs w:val="20"/>
              </w:rPr>
              <w:t>w</w:t>
            </w:r>
            <w:r w:rsidRPr="00153550">
              <w:rPr>
                <w:bCs/>
                <w:color w:val="000000" w:themeColor="text1"/>
                <w:szCs w:val="20"/>
              </w:rPr>
              <w:t>ater/</w:t>
            </w:r>
            <w:r>
              <w:rPr>
                <w:bCs/>
                <w:color w:val="000000" w:themeColor="text1"/>
                <w:szCs w:val="20"/>
              </w:rPr>
              <w:br/>
              <w:t>c</w:t>
            </w:r>
            <w:r w:rsidRPr="00153550">
              <w:rPr>
                <w:bCs/>
                <w:color w:val="000000" w:themeColor="text1"/>
                <w:szCs w:val="20"/>
              </w:rPr>
              <w:t xml:space="preserve">ementitious </w:t>
            </w:r>
            <w:r>
              <w:rPr>
                <w:bCs/>
                <w:color w:val="000000" w:themeColor="text1"/>
                <w:szCs w:val="20"/>
              </w:rPr>
              <w:t>m</w:t>
            </w:r>
            <w:r w:rsidRPr="00153550">
              <w:rPr>
                <w:bCs/>
                <w:color w:val="000000" w:themeColor="text1"/>
                <w:szCs w:val="20"/>
              </w:rPr>
              <w:t xml:space="preserve">aterial (W/C) </w:t>
            </w:r>
            <w:r>
              <w:rPr>
                <w:bCs/>
                <w:color w:val="000000" w:themeColor="text1"/>
                <w:szCs w:val="20"/>
              </w:rPr>
              <w:t>r</w:t>
            </w:r>
            <w:r w:rsidRPr="00153550">
              <w:rPr>
                <w:bCs/>
                <w:color w:val="000000" w:themeColor="text1"/>
                <w:szCs w:val="20"/>
              </w:rPr>
              <w:t>atio</w:t>
            </w:r>
          </w:p>
        </w:tc>
        <w:tc>
          <w:tcPr>
            <w:tcW w:w="4536" w:type="dxa"/>
            <w:gridSpan w:val="3"/>
            <w:shd w:val="clear" w:color="auto" w:fill="BFBFBF" w:themeFill="background1" w:themeFillShade="BF"/>
            <w:vAlign w:val="center"/>
          </w:tcPr>
          <w:p w14:paraId="24C2EF51" w14:textId="38197DD0" w:rsidR="00F01DA6" w:rsidRPr="00153550" w:rsidRDefault="00F01DA6" w:rsidP="00F01DA6">
            <w:pPr>
              <w:pStyle w:val="TableHeading"/>
              <w:keepNext/>
              <w:jc w:val="center"/>
              <w:rPr>
                <w:b w:val="0"/>
                <w:bCs/>
                <w:color w:val="000000" w:themeColor="text1"/>
                <w:szCs w:val="20"/>
              </w:rPr>
            </w:pPr>
            <w:r w:rsidRPr="00153550">
              <w:rPr>
                <w:bCs/>
                <w:color w:val="000000" w:themeColor="text1"/>
                <w:szCs w:val="20"/>
              </w:rPr>
              <w:t xml:space="preserve">Required </w:t>
            </w:r>
            <w:r>
              <w:rPr>
                <w:bCs/>
                <w:color w:val="000000" w:themeColor="text1"/>
                <w:szCs w:val="20"/>
              </w:rPr>
              <w:t>c</w:t>
            </w:r>
            <w:r w:rsidRPr="00153550">
              <w:rPr>
                <w:bCs/>
                <w:color w:val="000000" w:themeColor="text1"/>
                <w:szCs w:val="20"/>
              </w:rPr>
              <w:t xml:space="preserve">over to </w:t>
            </w:r>
            <w:r>
              <w:rPr>
                <w:bCs/>
                <w:color w:val="000000" w:themeColor="text1"/>
                <w:szCs w:val="20"/>
              </w:rPr>
              <w:t>s</w:t>
            </w:r>
            <w:r w:rsidRPr="00153550">
              <w:rPr>
                <w:bCs/>
                <w:color w:val="000000" w:themeColor="text1"/>
                <w:szCs w:val="20"/>
              </w:rPr>
              <w:t xml:space="preserve">teel </w:t>
            </w:r>
            <w:r>
              <w:rPr>
                <w:bCs/>
                <w:color w:val="000000" w:themeColor="text1"/>
                <w:szCs w:val="20"/>
              </w:rPr>
              <w:t>r</w:t>
            </w:r>
            <w:r w:rsidRPr="00153550">
              <w:rPr>
                <w:bCs/>
                <w:color w:val="000000" w:themeColor="text1"/>
                <w:szCs w:val="20"/>
              </w:rPr>
              <w:t>einforcement (mm)</w:t>
            </w:r>
          </w:p>
        </w:tc>
      </w:tr>
      <w:tr w:rsidR="00F01DA6" w:rsidRPr="0043355C" w14:paraId="185FBFD2" w14:textId="77777777" w:rsidTr="00F01DA6">
        <w:trPr>
          <w:trHeight w:val="472"/>
        </w:trPr>
        <w:tc>
          <w:tcPr>
            <w:tcW w:w="1417" w:type="dxa"/>
            <w:vMerge/>
            <w:shd w:val="clear" w:color="auto" w:fill="BFBFBF" w:themeFill="background1" w:themeFillShade="BF"/>
            <w:vAlign w:val="center"/>
          </w:tcPr>
          <w:p w14:paraId="40481D3D" w14:textId="77777777" w:rsidR="00F01DA6" w:rsidRPr="00153550" w:rsidRDefault="00F01DA6" w:rsidP="00F01DA6">
            <w:pPr>
              <w:pStyle w:val="TableHeading"/>
              <w:keepNext/>
              <w:jc w:val="center"/>
              <w:rPr>
                <w:b w:val="0"/>
                <w:bCs/>
                <w:color w:val="000000" w:themeColor="text1"/>
                <w:szCs w:val="20"/>
              </w:rPr>
            </w:pPr>
          </w:p>
        </w:tc>
        <w:tc>
          <w:tcPr>
            <w:tcW w:w="1418" w:type="dxa"/>
            <w:vMerge/>
            <w:shd w:val="clear" w:color="auto" w:fill="BFBFBF" w:themeFill="background1" w:themeFillShade="BF"/>
            <w:vAlign w:val="center"/>
          </w:tcPr>
          <w:p w14:paraId="29968773" w14:textId="77777777" w:rsidR="00F01DA6" w:rsidRPr="00153550" w:rsidRDefault="00F01DA6" w:rsidP="00F01DA6">
            <w:pPr>
              <w:pStyle w:val="TableHeading"/>
              <w:keepNext/>
              <w:jc w:val="center"/>
              <w:rPr>
                <w:b w:val="0"/>
                <w:bCs/>
                <w:color w:val="000000" w:themeColor="text1"/>
                <w:szCs w:val="20"/>
              </w:rPr>
            </w:pPr>
          </w:p>
        </w:tc>
        <w:tc>
          <w:tcPr>
            <w:tcW w:w="1701" w:type="dxa"/>
            <w:vMerge/>
            <w:shd w:val="clear" w:color="auto" w:fill="BFBFBF" w:themeFill="background1" w:themeFillShade="BF"/>
            <w:vAlign w:val="center"/>
          </w:tcPr>
          <w:p w14:paraId="0ED71BE6" w14:textId="77777777" w:rsidR="00F01DA6" w:rsidRPr="00153550" w:rsidRDefault="00F01DA6" w:rsidP="00F01DA6">
            <w:pPr>
              <w:pStyle w:val="TableHeading"/>
              <w:keepNext/>
              <w:jc w:val="center"/>
              <w:rPr>
                <w:b w:val="0"/>
                <w:bCs/>
                <w:color w:val="000000" w:themeColor="text1"/>
                <w:szCs w:val="20"/>
              </w:rPr>
            </w:pPr>
          </w:p>
        </w:tc>
        <w:tc>
          <w:tcPr>
            <w:tcW w:w="4536" w:type="dxa"/>
            <w:gridSpan w:val="3"/>
            <w:shd w:val="clear" w:color="auto" w:fill="BFBFBF" w:themeFill="background1" w:themeFillShade="BF"/>
            <w:vAlign w:val="center"/>
          </w:tcPr>
          <w:p w14:paraId="6D560737" w14:textId="3FA4EC97" w:rsidR="00F01DA6" w:rsidRPr="00153550" w:rsidRDefault="00F01DA6" w:rsidP="00F01DA6">
            <w:pPr>
              <w:pStyle w:val="TableHeading"/>
              <w:keepNext/>
              <w:jc w:val="center"/>
              <w:rPr>
                <w:b w:val="0"/>
                <w:bCs/>
                <w:color w:val="000000" w:themeColor="text1"/>
                <w:szCs w:val="20"/>
              </w:rPr>
            </w:pPr>
            <w:r w:rsidRPr="00153550">
              <w:rPr>
                <w:bCs/>
                <w:color w:val="000000" w:themeColor="text1"/>
                <w:szCs w:val="20"/>
              </w:rPr>
              <w:t xml:space="preserve">Characteristic </w:t>
            </w:r>
            <w:r>
              <w:rPr>
                <w:bCs/>
                <w:color w:val="000000" w:themeColor="text1"/>
                <w:szCs w:val="20"/>
              </w:rPr>
              <w:t>c</w:t>
            </w:r>
            <w:r w:rsidRPr="00153550">
              <w:rPr>
                <w:bCs/>
                <w:color w:val="000000" w:themeColor="text1"/>
                <w:szCs w:val="20"/>
              </w:rPr>
              <w:t xml:space="preserve">ompressive </w:t>
            </w:r>
            <w:r>
              <w:rPr>
                <w:bCs/>
                <w:color w:val="000000" w:themeColor="text1"/>
                <w:szCs w:val="20"/>
              </w:rPr>
              <w:t>s</w:t>
            </w:r>
            <w:r w:rsidRPr="00153550">
              <w:rPr>
                <w:bCs/>
                <w:color w:val="000000" w:themeColor="text1"/>
                <w:szCs w:val="20"/>
              </w:rPr>
              <w:t>trength (</w:t>
            </w:r>
            <w:proofErr w:type="spellStart"/>
            <w:r w:rsidRPr="00153550">
              <w:rPr>
                <w:bCs/>
                <w:color w:val="000000" w:themeColor="text1"/>
                <w:szCs w:val="20"/>
              </w:rPr>
              <w:t>f’c</w:t>
            </w:r>
            <w:proofErr w:type="spellEnd"/>
            <w:r w:rsidRPr="00153550">
              <w:rPr>
                <w:bCs/>
                <w:color w:val="000000" w:themeColor="text1"/>
                <w:szCs w:val="20"/>
              </w:rPr>
              <w:t>)</w:t>
            </w:r>
          </w:p>
        </w:tc>
      </w:tr>
      <w:bookmarkEnd w:id="64"/>
      <w:tr w:rsidR="00F01DA6" w:rsidRPr="0043355C" w14:paraId="56E6200D" w14:textId="77777777" w:rsidTr="00F01DA6">
        <w:tc>
          <w:tcPr>
            <w:tcW w:w="1417" w:type="dxa"/>
            <w:vMerge/>
            <w:shd w:val="clear" w:color="auto" w:fill="BFBFBF" w:themeFill="background1" w:themeFillShade="BF"/>
            <w:vAlign w:val="center"/>
          </w:tcPr>
          <w:p w14:paraId="2C4E9210" w14:textId="77777777" w:rsidR="00F01DA6" w:rsidRPr="00153550" w:rsidRDefault="00F01DA6" w:rsidP="00F01DA6">
            <w:pPr>
              <w:pStyle w:val="TableBodyText"/>
              <w:keepNext/>
              <w:jc w:val="center"/>
              <w:rPr>
                <w:color w:val="000000" w:themeColor="text1"/>
              </w:rPr>
            </w:pPr>
          </w:p>
        </w:tc>
        <w:tc>
          <w:tcPr>
            <w:tcW w:w="1418" w:type="dxa"/>
            <w:vMerge/>
            <w:shd w:val="clear" w:color="auto" w:fill="BFBFBF" w:themeFill="background1" w:themeFillShade="BF"/>
            <w:vAlign w:val="center"/>
          </w:tcPr>
          <w:p w14:paraId="5D46412F" w14:textId="77777777" w:rsidR="00F01DA6" w:rsidRPr="00153550" w:rsidRDefault="00F01DA6" w:rsidP="00F01DA6">
            <w:pPr>
              <w:pStyle w:val="TableBodyText"/>
              <w:keepNext/>
              <w:jc w:val="center"/>
              <w:rPr>
                <w:color w:val="000000" w:themeColor="text1"/>
              </w:rPr>
            </w:pPr>
          </w:p>
        </w:tc>
        <w:tc>
          <w:tcPr>
            <w:tcW w:w="1701" w:type="dxa"/>
            <w:vMerge/>
            <w:shd w:val="clear" w:color="auto" w:fill="BFBFBF" w:themeFill="background1" w:themeFillShade="BF"/>
            <w:vAlign w:val="center"/>
          </w:tcPr>
          <w:p w14:paraId="6B3F8BF4" w14:textId="77777777" w:rsidR="00F01DA6" w:rsidRPr="00153550" w:rsidRDefault="00F01DA6" w:rsidP="00F01DA6">
            <w:pPr>
              <w:pStyle w:val="TableBodyText"/>
              <w:keepNext/>
              <w:jc w:val="center"/>
              <w:rPr>
                <w:color w:val="000000" w:themeColor="text1"/>
              </w:rPr>
            </w:pPr>
          </w:p>
        </w:tc>
        <w:tc>
          <w:tcPr>
            <w:tcW w:w="1512" w:type="dxa"/>
            <w:shd w:val="clear" w:color="auto" w:fill="BFBFBF" w:themeFill="background1" w:themeFillShade="BF"/>
            <w:vAlign w:val="center"/>
          </w:tcPr>
          <w:p w14:paraId="7FE8EE59" w14:textId="77777777" w:rsidR="00F01DA6" w:rsidRPr="00F01DA6" w:rsidRDefault="00F01DA6" w:rsidP="00372245">
            <w:pPr>
              <w:pStyle w:val="TableBodyText"/>
              <w:keepNext/>
              <w:jc w:val="center"/>
              <w:rPr>
                <w:b/>
                <w:bCs w:val="0"/>
                <w:color w:val="000000" w:themeColor="text1"/>
              </w:rPr>
            </w:pPr>
            <w:r w:rsidRPr="00F01DA6">
              <w:rPr>
                <w:b/>
                <w:bCs w:val="0"/>
                <w:color w:val="000000" w:themeColor="text1"/>
              </w:rPr>
              <w:t>40 MPa</w:t>
            </w:r>
          </w:p>
        </w:tc>
        <w:tc>
          <w:tcPr>
            <w:tcW w:w="1512" w:type="dxa"/>
            <w:shd w:val="clear" w:color="auto" w:fill="BFBFBF" w:themeFill="background1" w:themeFillShade="BF"/>
            <w:vAlign w:val="center"/>
          </w:tcPr>
          <w:p w14:paraId="260CBCF3" w14:textId="77777777" w:rsidR="00F01DA6" w:rsidRPr="00F01DA6" w:rsidRDefault="00F01DA6" w:rsidP="00372245">
            <w:pPr>
              <w:pStyle w:val="TableBodyText"/>
              <w:keepNext/>
              <w:jc w:val="center"/>
              <w:rPr>
                <w:b/>
                <w:bCs w:val="0"/>
                <w:color w:val="000000" w:themeColor="text1"/>
              </w:rPr>
            </w:pPr>
            <w:r w:rsidRPr="00F01DA6">
              <w:rPr>
                <w:b/>
                <w:bCs w:val="0"/>
                <w:color w:val="000000" w:themeColor="text1"/>
              </w:rPr>
              <w:t>50 MPa</w:t>
            </w:r>
          </w:p>
        </w:tc>
        <w:tc>
          <w:tcPr>
            <w:tcW w:w="1512" w:type="dxa"/>
            <w:shd w:val="clear" w:color="auto" w:fill="BFBFBF" w:themeFill="background1" w:themeFillShade="BF"/>
            <w:vAlign w:val="center"/>
          </w:tcPr>
          <w:p w14:paraId="51B9906A" w14:textId="77777777" w:rsidR="00F01DA6" w:rsidRPr="00F01DA6" w:rsidRDefault="00F01DA6" w:rsidP="00372245">
            <w:pPr>
              <w:pStyle w:val="TableBodyText"/>
              <w:keepNext/>
              <w:jc w:val="center"/>
              <w:rPr>
                <w:b/>
                <w:bCs w:val="0"/>
                <w:color w:val="000000" w:themeColor="text1"/>
              </w:rPr>
            </w:pPr>
            <w:r w:rsidRPr="00F01DA6">
              <w:rPr>
                <w:b/>
                <w:bCs w:val="0"/>
                <w:color w:val="000000" w:themeColor="text1"/>
              </w:rPr>
              <w:t>≥55 MPa</w:t>
            </w:r>
          </w:p>
        </w:tc>
      </w:tr>
      <w:tr w:rsidR="006364DC" w:rsidRPr="0043355C" w14:paraId="5FC90222" w14:textId="77777777" w:rsidTr="00F01DA6">
        <w:tc>
          <w:tcPr>
            <w:tcW w:w="1417" w:type="dxa"/>
            <w:shd w:val="clear" w:color="auto" w:fill="D9D9D9" w:themeFill="background1" w:themeFillShade="D9"/>
            <w:vAlign w:val="center"/>
          </w:tcPr>
          <w:p w14:paraId="556881FD" w14:textId="77777777" w:rsidR="006364DC" w:rsidRPr="0043355C" w:rsidRDefault="006364DC" w:rsidP="00F01DA6">
            <w:pPr>
              <w:pStyle w:val="TableBodyText"/>
              <w:keepNext/>
              <w:jc w:val="center"/>
              <w:rPr>
                <w:b/>
                <w:bCs w:val="0"/>
              </w:rPr>
            </w:pPr>
            <w:r w:rsidRPr="0043355C">
              <w:rPr>
                <w:bCs w:val="0"/>
              </w:rPr>
              <w:t>B1</w:t>
            </w:r>
          </w:p>
        </w:tc>
        <w:tc>
          <w:tcPr>
            <w:tcW w:w="1418" w:type="dxa"/>
            <w:shd w:val="clear" w:color="auto" w:fill="D9D9D9" w:themeFill="background1" w:themeFillShade="D9"/>
            <w:vAlign w:val="center"/>
          </w:tcPr>
          <w:p w14:paraId="254FBD00" w14:textId="77777777" w:rsidR="006364DC" w:rsidRPr="0043355C" w:rsidRDefault="006364DC" w:rsidP="00F01DA6">
            <w:pPr>
              <w:pStyle w:val="TableBodyText"/>
              <w:keepNext/>
              <w:jc w:val="center"/>
              <w:rPr>
                <w:b/>
                <w:bCs w:val="0"/>
              </w:rPr>
            </w:pPr>
            <w:r w:rsidRPr="0043355C">
              <w:rPr>
                <w:bCs w:val="0"/>
              </w:rPr>
              <w:t>330</w:t>
            </w:r>
          </w:p>
        </w:tc>
        <w:tc>
          <w:tcPr>
            <w:tcW w:w="1701" w:type="dxa"/>
            <w:shd w:val="clear" w:color="auto" w:fill="D9D9D9" w:themeFill="background1" w:themeFillShade="D9"/>
            <w:vAlign w:val="center"/>
          </w:tcPr>
          <w:p w14:paraId="7F1266AA" w14:textId="77777777" w:rsidR="006364DC" w:rsidRPr="0043355C" w:rsidRDefault="006364DC" w:rsidP="00F01DA6">
            <w:pPr>
              <w:pStyle w:val="TableBodyText"/>
              <w:keepNext/>
              <w:jc w:val="center"/>
              <w:rPr>
                <w:b/>
                <w:bCs w:val="0"/>
              </w:rPr>
            </w:pPr>
            <w:r w:rsidRPr="0043355C">
              <w:rPr>
                <w:bCs w:val="0"/>
              </w:rPr>
              <w:t>0.50</w:t>
            </w:r>
          </w:p>
        </w:tc>
        <w:tc>
          <w:tcPr>
            <w:tcW w:w="1512" w:type="dxa"/>
            <w:shd w:val="clear" w:color="auto" w:fill="D9D9D9" w:themeFill="background1" w:themeFillShade="D9"/>
            <w:vAlign w:val="center"/>
          </w:tcPr>
          <w:p w14:paraId="7FF97466" w14:textId="77777777" w:rsidR="006364DC" w:rsidRPr="0043355C" w:rsidRDefault="006364DC" w:rsidP="00F01DA6">
            <w:pPr>
              <w:pStyle w:val="TableBodyText"/>
              <w:keepNext/>
              <w:jc w:val="center"/>
              <w:rPr>
                <w:b/>
                <w:bCs w:val="0"/>
              </w:rPr>
            </w:pPr>
            <w:r w:rsidRPr="0043355C">
              <w:rPr>
                <w:bCs w:val="0"/>
              </w:rPr>
              <w:t>35</w:t>
            </w:r>
          </w:p>
        </w:tc>
        <w:tc>
          <w:tcPr>
            <w:tcW w:w="1512" w:type="dxa"/>
            <w:shd w:val="clear" w:color="auto" w:fill="D9D9D9" w:themeFill="background1" w:themeFillShade="D9"/>
            <w:vAlign w:val="center"/>
          </w:tcPr>
          <w:p w14:paraId="1FF37BF2" w14:textId="77777777" w:rsidR="006364DC" w:rsidRPr="0043355C" w:rsidRDefault="006364DC" w:rsidP="00F01DA6">
            <w:pPr>
              <w:pStyle w:val="TableBodyText"/>
              <w:keepNext/>
              <w:jc w:val="center"/>
              <w:rPr>
                <w:b/>
                <w:bCs w:val="0"/>
              </w:rPr>
            </w:pPr>
            <w:r w:rsidRPr="0043355C">
              <w:rPr>
                <w:bCs w:val="0"/>
              </w:rPr>
              <w:t>3</w:t>
            </w:r>
            <w:r>
              <w:rPr>
                <w:bCs w:val="0"/>
              </w:rPr>
              <w:t>0</w:t>
            </w:r>
          </w:p>
        </w:tc>
        <w:tc>
          <w:tcPr>
            <w:tcW w:w="1512" w:type="dxa"/>
            <w:shd w:val="clear" w:color="auto" w:fill="D9D9D9" w:themeFill="background1" w:themeFillShade="D9"/>
            <w:vAlign w:val="center"/>
          </w:tcPr>
          <w:p w14:paraId="5AE6B560" w14:textId="77777777" w:rsidR="006364DC" w:rsidRPr="0043355C" w:rsidRDefault="006364DC" w:rsidP="00F01DA6">
            <w:pPr>
              <w:pStyle w:val="TableBodyText"/>
              <w:keepNext/>
              <w:jc w:val="center"/>
              <w:rPr>
                <w:b/>
                <w:bCs w:val="0"/>
              </w:rPr>
            </w:pPr>
            <w:r w:rsidRPr="0043355C">
              <w:rPr>
                <w:bCs w:val="0"/>
              </w:rPr>
              <w:t>30</w:t>
            </w:r>
          </w:p>
        </w:tc>
      </w:tr>
      <w:tr w:rsidR="006364DC" w:rsidRPr="0043355C" w14:paraId="32D830C1" w14:textId="77777777" w:rsidTr="00F01DA6">
        <w:tc>
          <w:tcPr>
            <w:tcW w:w="1417" w:type="dxa"/>
            <w:shd w:val="clear" w:color="auto" w:fill="D9D9D9" w:themeFill="background1" w:themeFillShade="D9"/>
            <w:vAlign w:val="center"/>
          </w:tcPr>
          <w:p w14:paraId="3D63BF86" w14:textId="77777777" w:rsidR="006364DC" w:rsidRPr="0043355C" w:rsidRDefault="006364DC" w:rsidP="00F01DA6">
            <w:pPr>
              <w:pStyle w:val="TableBodyText"/>
              <w:keepNext/>
              <w:jc w:val="center"/>
              <w:rPr>
                <w:b/>
                <w:bCs w:val="0"/>
              </w:rPr>
            </w:pPr>
            <w:r w:rsidRPr="0043355C">
              <w:rPr>
                <w:bCs w:val="0"/>
              </w:rPr>
              <w:t>B2</w:t>
            </w:r>
          </w:p>
        </w:tc>
        <w:tc>
          <w:tcPr>
            <w:tcW w:w="1418" w:type="dxa"/>
            <w:shd w:val="clear" w:color="auto" w:fill="D9D9D9" w:themeFill="background1" w:themeFillShade="D9"/>
            <w:vAlign w:val="center"/>
          </w:tcPr>
          <w:p w14:paraId="36B7441C" w14:textId="77777777" w:rsidR="006364DC" w:rsidRPr="0043355C" w:rsidRDefault="006364DC" w:rsidP="00F01DA6">
            <w:pPr>
              <w:pStyle w:val="TableBodyText"/>
              <w:keepNext/>
              <w:jc w:val="center"/>
              <w:rPr>
                <w:b/>
                <w:bCs w:val="0"/>
              </w:rPr>
            </w:pPr>
            <w:r w:rsidRPr="0043355C">
              <w:rPr>
                <w:bCs w:val="0"/>
              </w:rPr>
              <w:t>400</w:t>
            </w:r>
          </w:p>
        </w:tc>
        <w:tc>
          <w:tcPr>
            <w:tcW w:w="1701" w:type="dxa"/>
            <w:shd w:val="clear" w:color="auto" w:fill="D9D9D9" w:themeFill="background1" w:themeFillShade="D9"/>
            <w:vAlign w:val="center"/>
          </w:tcPr>
          <w:p w14:paraId="2FBCA424" w14:textId="77777777" w:rsidR="006364DC" w:rsidRPr="0043355C" w:rsidRDefault="006364DC" w:rsidP="00F01DA6">
            <w:pPr>
              <w:pStyle w:val="TableBodyText"/>
              <w:keepNext/>
              <w:jc w:val="center"/>
              <w:rPr>
                <w:b/>
                <w:bCs w:val="0"/>
              </w:rPr>
            </w:pPr>
            <w:bookmarkStart w:id="65" w:name="_Hlk6221761"/>
            <w:r w:rsidRPr="0043355C">
              <w:rPr>
                <w:bCs w:val="0"/>
              </w:rPr>
              <w:t>0.45</w:t>
            </w:r>
          </w:p>
        </w:tc>
        <w:tc>
          <w:tcPr>
            <w:tcW w:w="1512" w:type="dxa"/>
            <w:shd w:val="clear" w:color="auto" w:fill="D9D9D9" w:themeFill="background1" w:themeFillShade="D9"/>
            <w:vAlign w:val="center"/>
          </w:tcPr>
          <w:p w14:paraId="72F1B4DE" w14:textId="77777777" w:rsidR="006364DC" w:rsidRPr="0043355C" w:rsidRDefault="006364DC" w:rsidP="00F01DA6">
            <w:pPr>
              <w:pStyle w:val="TableBodyText"/>
              <w:keepNext/>
              <w:jc w:val="center"/>
              <w:rPr>
                <w:b/>
                <w:bCs w:val="0"/>
              </w:rPr>
            </w:pPr>
            <w:r w:rsidRPr="0043355C">
              <w:rPr>
                <w:bCs w:val="0"/>
              </w:rPr>
              <w:t>50</w:t>
            </w:r>
          </w:p>
        </w:tc>
        <w:tc>
          <w:tcPr>
            <w:tcW w:w="1512" w:type="dxa"/>
            <w:shd w:val="clear" w:color="auto" w:fill="D9D9D9" w:themeFill="background1" w:themeFillShade="D9"/>
            <w:vAlign w:val="center"/>
          </w:tcPr>
          <w:p w14:paraId="3DB4A6E7" w14:textId="77777777" w:rsidR="006364DC" w:rsidRPr="0043355C" w:rsidRDefault="006364DC" w:rsidP="00F01DA6">
            <w:pPr>
              <w:pStyle w:val="TableBodyText"/>
              <w:keepNext/>
              <w:jc w:val="center"/>
              <w:rPr>
                <w:b/>
                <w:bCs w:val="0"/>
              </w:rPr>
            </w:pPr>
            <w:r w:rsidRPr="0043355C">
              <w:rPr>
                <w:bCs w:val="0"/>
              </w:rPr>
              <w:t>40</w:t>
            </w:r>
          </w:p>
        </w:tc>
        <w:tc>
          <w:tcPr>
            <w:tcW w:w="1512" w:type="dxa"/>
            <w:shd w:val="clear" w:color="auto" w:fill="D9D9D9" w:themeFill="background1" w:themeFillShade="D9"/>
            <w:vAlign w:val="center"/>
          </w:tcPr>
          <w:p w14:paraId="5673C84E" w14:textId="77777777" w:rsidR="006364DC" w:rsidRPr="0043355C" w:rsidRDefault="006364DC" w:rsidP="00F01DA6">
            <w:pPr>
              <w:pStyle w:val="TableBodyText"/>
              <w:keepNext/>
              <w:jc w:val="center"/>
              <w:rPr>
                <w:b/>
                <w:bCs w:val="0"/>
              </w:rPr>
            </w:pPr>
            <w:r w:rsidRPr="0043355C">
              <w:rPr>
                <w:bCs w:val="0"/>
              </w:rPr>
              <w:t>40</w:t>
            </w:r>
          </w:p>
        </w:tc>
      </w:tr>
      <w:tr w:rsidR="006364DC" w:rsidRPr="0043355C" w14:paraId="681112A6" w14:textId="77777777" w:rsidTr="00F01DA6">
        <w:tc>
          <w:tcPr>
            <w:tcW w:w="1417" w:type="dxa"/>
            <w:tcBorders>
              <w:bottom w:val="single" w:sz="4" w:space="0" w:color="FFFFFF" w:themeColor="background1"/>
            </w:tcBorders>
            <w:shd w:val="clear" w:color="auto" w:fill="D9D9D9" w:themeFill="background1" w:themeFillShade="D9"/>
            <w:vAlign w:val="center"/>
          </w:tcPr>
          <w:p w14:paraId="2AD31C7A" w14:textId="77777777" w:rsidR="006364DC" w:rsidRPr="0043355C" w:rsidRDefault="006364DC" w:rsidP="00F01DA6">
            <w:pPr>
              <w:pStyle w:val="TableBodyText"/>
              <w:keepNext/>
              <w:jc w:val="center"/>
              <w:rPr>
                <w:b/>
                <w:bCs w:val="0"/>
              </w:rPr>
            </w:pPr>
            <w:r w:rsidRPr="0043355C">
              <w:rPr>
                <w:bCs w:val="0"/>
              </w:rPr>
              <w:t>C1</w:t>
            </w:r>
          </w:p>
        </w:tc>
        <w:tc>
          <w:tcPr>
            <w:tcW w:w="1418" w:type="dxa"/>
            <w:tcBorders>
              <w:bottom w:val="single" w:sz="4" w:space="0" w:color="FFFFFF" w:themeColor="background1"/>
            </w:tcBorders>
            <w:shd w:val="clear" w:color="auto" w:fill="D9D9D9" w:themeFill="background1" w:themeFillShade="D9"/>
            <w:vAlign w:val="center"/>
          </w:tcPr>
          <w:p w14:paraId="7FF84F48" w14:textId="77777777" w:rsidR="006364DC" w:rsidRPr="0043355C" w:rsidRDefault="006364DC" w:rsidP="00F01DA6">
            <w:pPr>
              <w:pStyle w:val="TableBodyText"/>
              <w:keepNext/>
              <w:jc w:val="center"/>
              <w:rPr>
                <w:b/>
                <w:bCs w:val="0"/>
              </w:rPr>
            </w:pPr>
            <w:r w:rsidRPr="0043355C">
              <w:rPr>
                <w:bCs w:val="0"/>
              </w:rPr>
              <w:t>450</w:t>
            </w:r>
          </w:p>
        </w:tc>
        <w:tc>
          <w:tcPr>
            <w:tcW w:w="1701" w:type="dxa"/>
            <w:tcBorders>
              <w:bottom w:val="single" w:sz="4" w:space="0" w:color="FFFFFF" w:themeColor="background1"/>
            </w:tcBorders>
            <w:shd w:val="clear" w:color="auto" w:fill="D9D9D9" w:themeFill="background1" w:themeFillShade="D9"/>
            <w:vAlign w:val="center"/>
          </w:tcPr>
          <w:p w14:paraId="74066AA0" w14:textId="77777777" w:rsidR="006364DC" w:rsidRPr="0043355C" w:rsidRDefault="006364DC" w:rsidP="00F01DA6">
            <w:pPr>
              <w:pStyle w:val="TableBodyText"/>
              <w:keepNext/>
              <w:jc w:val="center"/>
              <w:rPr>
                <w:b/>
                <w:bCs w:val="0"/>
              </w:rPr>
            </w:pPr>
            <w:r w:rsidRPr="0043355C">
              <w:rPr>
                <w:bCs w:val="0"/>
              </w:rPr>
              <w:t>0.40</w:t>
            </w:r>
          </w:p>
        </w:tc>
        <w:tc>
          <w:tcPr>
            <w:tcW w:w="1512" w:type="dxa"/>
            <w:tcBorders>
              <w:bottom w:val="single" w:sz="4" w:space="0" w:color="FFFFFF" w:themeColor="background1"/>
            </w:tcBorders>
            <w:shd w:val="clear" w:color="auto" w:fill="D9D9D9" w:themeFill="background1" w:themeFillShade="D9"/>
            <w:vAlign w:val="center"/>
          </w:tcPr>
          <w:p w14:paraId="35356480" w14:textId="77777777" w:rsidR="006364DC" w:rsidRPr="0043355C" w:rsidRDefault="006364DC" w:rsidP="00F01DA6">
            <w:pPr>
              <w:pStyle w:val="TableBodyText"/>
              <w:keepNext/>
              <w:jc w:val="center"/>
              <w:rPr>
                <w:b/>
                <w:bCs w:val="0"/>
              </w:rPr>
            </w:pPr>
            <w:r w:rsidRPr="0043355C">
              <w:rPr>
                <w:bCs w:val="0"/>
              </w:rPr>
              <w:t>Not Applicable</w:t>
            </w:r>
          </w:p>
        </w:tc>
        <w:tc>
          <w:tcPr>
            <w:tcW w:w="1512" w:type="dxa"/>
            <w:tcBorders>
              <w:bottom w:val="single" w:sz="4" w:space="0" w:color="FFFFFF" w:themeColor="background1"/>
            </w:tcBorders>
            <w:shd w:val="clear" w:color="auto" w:fill="D9D9D9" w:themeFill="background1" w:themeFillShade="D9"/>
            <w:vAlign w:val="center"/>
          </w:tcPr>
          <w:p w14:paraId="5C5D5D63" w14:textId="77777777" w:rsidR="006364DC" w:rsidRPr="0043355C" w:rsidRDefault="006364DC" w:rsidP="00F01DA6">
            <w:pPr>
              <w:pStyle w:val="TableBodyText"/>
              <w:keepNext/>
              <w:jc w:val="center"/>
              <w:rPr>
                <w:b/>
                <w:bCs w:val="0"/>
              </w:rPr>
            </w:pPr>
            <w:r w:rsidRPr="0043355C">
              <w:rPr>
                <w:bCs w:val="0"/>
              </w:rPr>
              <w:t>70</w:t>
            </w:r>
          </w:p>
        </w:tc>
        <w:tc>
          <w:tcPr>
            <w:tcW w:w="1512" w:type="dxa"/>
            <w:tcBorders>
              <w:bottom w:val="single" w:sz="4" w:space="0" w:color="FFFFFF" w:themeColor="background1"/>
            </w:tcBorders>
            <w:shd w:val="clear" w:color="auto" w:fill="D9D9D9" w:themeFill="background1" w:themeFillShade="D9"/>
            <w:vAlign w:val="center"/>
          </w:tcPr>
          <w:p w14:paraId="04D48578" w14:textId="77777777" w:rsidR="006364DC" w:rsidRPr="0043355C" w:rsidRDefault="006364DC" w:rsidP="00F01DA6">
            <w:pPr>
              <w:pStyle w:val="TableBodyText"/>
              <w:keepNext/>
              <w:jc w:val="center"/>
              <w:rPr>
                <w:b/>
                <w:bCs w:val="0"/>
              </w:rPr>
            </w:pPr>
            <w:r w:rsidRPr="0043355C">
              <w:rPr>
                <w:bCs w:val="0"/>
              </w:rPr>
              <w:t>70</w:t>
            </w:r>
          </w:p>
        </w:tc>
      </w:tr>
      <w:tr w:rsidR="006364DC" w:rsidRPr="0043355C" w14:paraId="4B2B192E" w14:textId="77777777" w:rsidTr="00F01DA6">
        <w:tc>
          <w:tcPr>
            <w:tcW w:w="1417" w:type="dxa"/>
            <w:tcBorders>
              <w:bottom w:val="single" w:sz="4" w:space="0" w:color="7F7F7F" w:themeColor="text1" w:themeTint="80"/>
            </w:tcBorders>
            <w:shd w:val="clear" w:color="auto" w:fill="D9D9D9" w:themeFill="background1" w:themeFillShade="D9"/>
            <w:vAlign w:val="center"/>
          </w:tcPr>
          <w:p w14:paraId="72056423" w14:textId="77777777" w:rsidR="006364DC" w:rsidRPr="0043355C" w:rsidRDefault="006364DC" w:rsidP="00F01DA6">
            <w:pPr>
              <w:pStyle w:val="TableBodyText"/>
              <w:keepNext/>
              <w:jc w:val="center"/>
              <w:rPr>
                <w:b/>
                <w:bCs w:val="0"/>
              </w:rPr>
            </w:pPr>
            <w:r w:rsidRPr="0043355C">
              <w:rPr>
                <w:bCs w:val="0"/>
              </w:rPr>
              <w:t>C2</w:t>
            </w:r>
          </w:p>
        </w:tc>
        <w:tc>
          <w:tcPr>
            <w:tcW w:w="1418" w:type="dxa"/>
            <w:tcBorders>
              <w:bottom w:val="single" w:sz="4" w:space="0" w:color="7F7F7F" w:themeColor="text1" w:themeTint="80"/>
            </w:tcBorders>
            <w:shd w:val="clear" w:color="auto" w:fill="D9D9D9" w:themeFill="background1" w:themeFillShade="D9"/>
            <w:vAlign w:val="center"/>
          </w:tcPr>
          <w:p w14:paraId="53DF79E4" w14:textId="77777777" w:rsidR="006364DC" w:rsidRPr="0043355C" w:rsidRDefault="006364DC" w:rsidP="00F01DA6">
            <w:pPr>
              <w:pStyle w:val="TableBodyText"/>
              <w:keepNext/>
              <w:jc w:val="center"/>
              <w:rPr>
                <w:b/>
                <w:bCs w:val="0"/>
              </w:rPr>
            </w:pPr>
            <w:r w:rsidRPr="0043355C">
              <w:rPr>
                <w:bCs w:val="0"/>
              </w:rPr>
              <w:t>470</w:t>
            </w:r>
          </w:p>
        </w:tc>
        <w:tc>
          <w:tcPr>
            <w:tcW w:w="1701" w:type="dxa"/>
            <w:tcBorders>
              <w:bottom w:val="single" w:sz="4" w:space="0" w:color="7F7F7F" w:themeColor="text1" w:themeTint="80"/>
            </w:tcBorders>
            <w:shd w:val="clear" w:color="auto" w:fill="D9D9D9" w:themeFill="background1" w:themeFillShade="D9"/>
            <w:vAlign w:val="center"/>
          </w:tcPr>
          <w:p w14:paraId="3F53FE50" w14:textId="77777777" w:rsidR="006364DC" w:rsidRPr="0043355C" w:rsidRDefault="006364DC" w:rsidP="00F01DA6">
            <w:pPr>
              <w:pStyle w:val="TableBodyText"/>
              <w:keepNext/>
              <w:jc w:val="center"/>
              <w:rPr>
                <w:b/>
                <w:bCs w:val="0"/>
              </w:rPr>
            </w:pPr>
            <w:r w:rsidRPr="0043355C">
              <w:rPr>
                <w:bCs w:val="0"/>
              </w:rPr>
              <w:t>0.36</w:t>
            </w:r>
          </w:p>
        </w:tc>
        <w:tc>
          <w:tcPr>
            <w:tcW w:w="1512" w:type="dxa"/>
            <w:tcBorders>
              <w:bottom w:val="single" w:sz="4" w:space="0" w:color="7F7F7F" w:themeColor="text1" w:themeTint="80"/>
            </w:tcBorders>
            <w:shd w:val="clear" w:color="auto" w:fill="D9D9D9" w:themeFill="background1" w:themeFillShade="D9"/>
            <w:vAlign w:val="center"/>
          </w:tcPr>
          <w:p w14:paraId="14501EC7" w14:textId="77777777" w:rsidR="006364DC" w:rsidRPr="0043355C" w:rsidRDefault="006364DC" w:rsidP="00F01DA6">
            <w:pPr>
              <w:pStyle w:val="TableBodyText"/>
              <w:keepNext/>
              <w:jc w:val="center"/>
              <w:rPr>
                <w:b/>
                <w:bCs w:val="0"/>
              </w:rPr>
            </w:pPr>
            <w:r w:rsidRPr="0043355C">
              <w:rPr>
                <w:bCs w:val="0"/>
              </w:rPr>
              <w:t>Not Applicable</w:t>
            </w:r>
          </w:p>
        </w:tc>
        <w:tc>
          <w:tcPr>
            <w:tcW w:w="1512" w:type="dxa"/>
            <w:tcBorders>
              <w:bottom w:val="single" w:sz="4" w:space="0" w:color="7F7F7F" w:themeColor="text1" w:themeTint="80"/>
            </w:tcBorders>
            <w:shd w:val="clear" w:color="auto" w:fill="D9D9D9" w:themeFill="background1" w:themeFillShade="D9"/>
            <w:vAlign w:val="center"/>
          </w:tcPr>
          <w:p w14:paraId="60B9785B" w14:textId="77777777" w:rsidR="006364DC" w:rsidRPr="0043355C" w:rsidRDefault="006364DC" w:rsidP="00F01DA6">
            <w:pPr>
              <w:pStyle w:val="TableBodyText"/>
              <w:keepNext/>
              <w:jc w:val="center"/>
              <w:rPr>
                <w:b/>
                <w:bCs w:val="0"/>
              </w:rPr>
            </w:pPr>
            <w:r w:rsidRPr="0043355C">
              <w:rPr>
                <w:bCs w:val="0"/>
              </w:rPr>
              <w:t>Not Applicable</w:t>
            </w:r>
          </w:p>
        </w:tc>
        <w:tc>
          <w:tcPr>
            <w:tcW w:w="1512" w:type="dxa"/>
            <w:tcBorders>
              <w:bottom w:val="single" w:sz="4" w:space="0" w:color="7F7F7F" w:themeColor="text1" w:themeTint="80"/>
            </w:tcBorders>
            <w:shd w:val="clear" w:color="auto" w:fill="D9D9D9" w:themeFill="background1" w:themeFillShade="D9"/>
            <w:vAlign w:val="center"/>
          </w:tcPr>
          <w:p w14:paraId="464B2083" w14:textId="77777777" w:rsidR="006364DC" w:rsidRPr="0043355C" w:rsidRDefault="006364DC" w:rsidP="00F01DA6">
            <w:pPr>
              <w:pStyle w:val="TableBodyText"/>
              <w:keepNext/>
              <w:jc w:val="center"/>
              <w:rPr>
                <w:b/>
                <w:bCs w:val="0"/>
              </w:rPr>
            </w:pPr>
            <w:r w:rsidRPr="0043355C">
              <w:rPr>
                <w:bCs w:val="0"/>
              </w:rPr>
              <w:t>70</w:t>
            </w:r>
          </w:p>
        </w:tc>
      </w:tr>
    </w:tbl>
    <w:bookmarkEnd w:id="65"/>
    <w:p w14:paraId="4F71E083" w14:textId="2FA7F022" w:rsidR="006364DC" w:rsidRPr="00153550" w:rsidRDefault="006364DC" w:rsidP="00372245">
      <w:pPr>
        <w:pStyle w:val="Bodynumbered1"/>
        <w:keepNext/>
      </w:pPr>
      <w:r w:rsidRPr="00153550">
        <w:t>The tolerance on concrete cover is -5 to +5 mm where a negative value indicates less cover than that specified.</w:t>
      </w:r>
    </w:p>
    <w:tbl>
      <w:tblPr>
        <w:tblStyle w:val="SimpleTable4"/>
        <w:tblW w:w="9781" w:type="dxa"/>
        <w:tblInd w:w="-1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781"/>
      </w:tblGrid>
      <w:tr w:rsidR="006364DC" w:rsidRPr="0043355C" w14:paraId="13A6E6AC" w14:textId="77777777" w:rsidTr="00F01DA6">
        <w:trPr>
          <w:cnfStyle w:val="100000000000" w:firstRow="1" w:lastRow="0" w:firstColumn="0" w:lastColumn="0" w:oddVBand="0" w:evenVBand="0" w:oddHBand="0" w:evenHBand="0" w:firstRowFirstColumn="0" w:firstRowLastColumn="0" w:lastRowFirstColumn="0" w:lastRowLastColumn="0"/>
        </w:trPr>
        <w:tc>
          <w:tcPr>
            <w:tcW w:w="9781" w:type="dxa"/>
            <w:shd w:val="clear" w:color="auto" w:fill="D9D9D9"/>
          </w:tcPr>
          <w:p w14:paraId="5EBEE385" w14:textId="77777777" w:rsidR="006364DC" w:rsidRPr="00153550" w:rsidRDefault="006364DC" w:rsidP="00153550">
            <w:pPr>
              <w:pStyle w:val="BodyText"/>
              <w:rPr>
                <w:b w:val="0"/>
                <w:bCs w:val="0"/>
              </w:rPr>
            </w:pPr>
            <w:r w:rsidRPr="00153550">
              <w:rPr>
                <w:b w:val="0"/>
                <w:bCs w:val="0"/>
              </w:rPr>
              <w:t>For Culvert Components to be installed in Queensland, the following additional requirements apply:</w:t>
            </w:r>
          </w:p>
          <w:p w14:paraId="5C2B4EAA" w14:textId="77777777" w:rsidR="006364DC" w:rsidRPr="00153550" w:rsidRDefault="006364DC" w:rsidP="00153550">
            <w:pPr>
              <w:pStyle w:val="Bodynumbered1"/>
              <w:rPr>
                <w:b w:val="0"/>
                <w:bCs/>
              </w:rPr>
            </w:pPr>
            <w:r w:rsidRPr="00153550">
              <w:rPr>
                <w:b w:val="0"/>
                <w:bCs/>
              </w:rPr>
              <w:t>An Exposure classification less severe than B2 must satisfy the strength grade and concrete cover requirements for B2.</w:t>
            </w:r>
          </w:p>
          <w:p w14:paraId="0475B870" w14:textId="77777777" w:rsidR="006364DC" w:rsidRPr="00153550" w:rsidRDefault="006364DC" w:rsidP="00153550">
            <w:pPr>
              <w:pStyle w:val="BodyText"/>
              <w:rPr>
                <w:b w:val="0"/>
                <w:bCs w:val="0"/>
              </w:rPr>
            </w:pPr>
            <w:r w:rsidRPr="00153550">
              <w:rPr>
                <w:b w:val="0"/>
                <w:bCs w:val="0"/>
              </w:rPr>
              <w:t>For Culvert Components to be installed in Western Australia, the following additional requirements apply:</w:t>
            </w:r>
          </w:p>
          <w:p w14:paraId="33314AA6" w14:textId="025C70FD" w:rsidR="006364DC" w:rsidRPr="00F6785D" w:rsidRDefault="006364DC" w:rsidP="00F6785D">
            <w:pPr>
              <w:pStyle w:val="Bodynumbered1"/>
              <w:rPr>
                <w:b w:val="0"/>
                <w:bCs/>
              </w:rPr>
            </w:pPr>
            <w:r w:rsidRPr="00F6785D">
              <w:rPr>
                <w:b w:val="0"/>
                <w:bCs/>
              </w:rPr>
              <w:t>The Characteristic Strength (</w:t>
            </w:r>
            <w:proofErr w:type="spellStart"/>
            <w:r w:rsidRPr="00F6785D">
              <w:rPr>
                <w:b w:val="0"/>
                <w:bCs/>
              </w:rPr>
              <w:t>f’c</w:t>
            </w:r>
            <w:proofErr w:type="spellEnd"/>
            <w:r w:rsidRPr="00F6785D">
              <w:rPr>
                <w:b w:val="0"/>
                <w:bCs/>
              </w:rPr>
              <w:t xml:space="preserve">) must not be less than 50 MPa. </w:t>
            </w:r>
          </w:p>
          <w:p w14:paraId="0509915C" w14:textId="77777777" w:rsidR="006364DC" w:rsidRPr="00020B79" w:rsidRDefault="006364DC" w:rsidP="00020B79">
            <w:pPr>
              <w:pStyle w:val="Bodynumbered1"/>
              <w:rPr>
                <w:b w:val="0"/>
                <w:bCs/>
              </w:rPr>
            </w:pPr>
            <w:r w:rsidRPr="00020B79">
              <w:rPr>
                <w:b w:val="0"/>
                <w:bCs/>
              </w:rPr>
              <w:t>If a Contractor has not previously supplied box culverts to Main Roads Western Australia, or has changed the concrete mix design of any culverts, in addition to providing the concrete mix design, the manufacturer must prepare a trial mix for the required class of concrete using the plant to be used for concrete in the works.</w:t>
            </w:r>
          </w:p>
          <w:p w14:paraId="5B1A1BBC" w14:textId="77777777" w:rsidR="006364DC" w:rsidRPr="0043355C" w:rsidRDefault="006364DC" w:rsidP="00020B79">
            <w:pPr>
              <w:pStyle w:val="Bodynumbered1"/>
            </w:pPr>
            <w:r w:rsidRPr="00020B79">
              <w:rPr>
                <w:b w:val="0"/>
                <w:bCs/>
              </w:rPr>
              <w:t>Test results from the trial mix demonstrating compliance with the requirements of this Specification must be supplied to the Principal with the concrete mix design.</w:t>
            </w:r>
            <w:r w:rsidRPr="0043355C">
              <w:t xml:space="preserve"> </w:t>
            </w:r>
          </w:p>
        </w:tc>
      </w:tr>
    </w:tbl>
    <w:p w14:paraId="1EB2BBFB" w14:textId="77777777" w:rsidR="00372245" w:rsidRDefault="006364DC" w:rsidP="00F6785D">
      <w:pPr>
        <w:pStyle w:val="Heading2"/>
      </w:pPr>
      <w:bookmarkStart w:id="66" w:name="_Toc42767694"/>
      <w:r w:rsidRPr="0043355C">
        <w:t>Concrete Production, Placement and Curing</w:t>
      </w:r>
      <w:bookmarkEnd w:id="66"/>
      <w:r w:rsidR="00F6785D" w:rsidRPr="0043355C">
        <w:t xml:space="preserve"> </w:t>
      </w:r>
    </w:p>
    <w:p w14:paraId="04EC1321" w14:textId="6EB7DD53" w:rsidR="006364DC" w:rsidRPr="0043355C" w:rsidRDefault="006364DC" w:rsidP="00372245">
      <w:pPr>
        <w:pStyle w:val="BodyText"/>
        <w:rPr>
          <w:lang w:val="en-AU"/>
        </w:rPr>
      </w:pPr>
      <w:r w:rsidRPr="0043355C">
        <w:t>(Refer AS 1597.1 Clause 2.6)</w:t>
      </w:r>
    </w:p>
    <w:p w14:paraId="6FA686C4" w14:textId="36D36EE2" w:rsidR="006364DC" w:rsidRPr="00F6785D" w:rsidRDefault="006364DC" w:rsidP="00F6785D">
      <w:pPr>
        <w:pStyle w:val="Bodynumbered1"/>
      </w:pPr>
      <w:r w:rsidRPr="00F6785D">
        <w:t xml:space="preserve">Formwork must be rigid and constructed from metal. Timber formwork is not acceptable. </w:t>
      </w:r>
    </w:p>
    <w:p w14:paraId="628D0CBB" w14:textId="77777777" w:rsidR="006364DC" w:rsidRPr="00F6785D" w:rsidRDefault="006364DC" w:rsidP="00F6785D">
      <w:pPr>
        <w:pStyle w:val="Bodynumbered1"/>
      </w:pPr>
      <w:r w:rsidRPr="00F6785D">
        <w:t>Culverts must be cast legs down or on end. Where a hole or void in the concrete is shown on the Drawings, the formwork or void former must be removed after casting.</w:t>
      </w:r>
    </w:p>
    <w:p w14:paraId="582E41C4" w14:textId="0845E118" w:rsidR="006364DC" w:rsidRPr="00F6785D" w:rsidRDefault="006364DC" w:rsidP="00F6785D">
      <w:pPr>
        <w:pStyle w:val="Bodynumbered1"/>
      </w:pPr>
      <w:r w:rsidRPr="00F6785D">
        <w:t>The manufacturer must maintain a batch recording system that records the weight and volume of each component used in the concrete mix. These records must be made available to the Principal upon request.</w:t>
      </w:r>
    </w:p>
    <w:p w14:paraId="019DE242" w14:textId="77777777" w:rsidR="006364DC" w:rsidRPr="00F6785D" w:rsidRDefault="006364DC" w:rsidP="00F6785D">
      <w:pPr>
        <w:pStyle w:val="Bodynumbered1"/>
      </w:pPr>
      <w:r w:rsidRPr="00F6785D">
        <w:t>Concrete must be deposited in horizontal layers in a manner to avoid segregation and displacement of the steel reinforcement or other embedded items or formwork.</w:t>
      </w:r>
    </w:p>
    <w:p w14:paraId="20FDC097" w14:textId="480144F1" w:rsidR="006364DC" w:rsidRPr="00F6785D" w:rsidRDefault="006364DC" w:rsidP="00F6785D">
      <w:pPr>
        <w:pStyle w:val="Bodynumbered1"/>
      </w:pPr>
      <w:r w:rsidRPr="00F6785D">
        <w:t>Vibration must be by external form vibrators supplemented by internal vibration if required. External form vibrators are not required if Self-compacting concrete is used.</w:t>
      </w:r>
    </w:p>
    <w:p w14:paraId="48F1E8AD" w14:textId="77777777" w:rsidR="00372245" w:rsidRDefault="006364DC" w:rsidP="00F6785D">
      <w:pPr>
        <w:pStyle w:val="Heading2"/>
      </w:pPr>
      <w:bookmarkStart w:id="67" w:name="_Toc42767695"/>
      <w:r w:rsidRPr="0043355C">
        <w:lastRenderedPageBreak/>
        <w:t>Curing</w:t>
      </w:r>
      <w:bookmarkEnd w:id="67"/>
      <w:r w:rsidRPr="0043355C">
        <w:t xml:space="preserve"> </w:t>
      </w:r>
    </w:p>
    <w:p w14:paraId="41D226B1" w14:textId="584778CB" w:rsidR="006364DC" w:rsidRPr="0043355C" w:rsidRDefault="006364DC" w:rsidP="00020B79">
      <w:pPr>
        <w:pStyle w:val="BodyText"/>
        <w:rPr>
          <w:lang w:val="en-AU"/>
        </w:rPr>
      </w:pPr>
      <w:r w:rsidRPr="0043355C">
        <w:t>(Refer AS 1597.1 Clause 2.6.3)</w:t>
      </w:r>
    </w:p>
    <w:p w14:paraId="36231E5E" w14:textId="77777777" w:rsidR="006364DC" w:rsidRPr="00F6785D" w:rsidRDefault="006364DC" w:rsidP="00F6785D">
      <w:pPr>
        <w:pStyle w:val="Bodynumbered1"/>
      </w:pPr>
      <w:r w:rsidRPr="00F6785D">
        <w:t>The concrete compressive strength for checking the adequacy of curing must be determined by test cylinders cured with and in the same manner as the concrete unit.</w:t>
      </w:r>
    </w:p>
    <w:p w14:paraId="7C50D802" w14:textId="19CC94B8" w:rsidR="006364DC" w:rsidRDefault="006364DC" w:rsidP="00F6785D">
      <w:pPr>
        <w:pStyle w:val="Bodynumbered1"/>
      </w:pPr>
      <w:bookmarkStart w:id="68" w:name="_Ref7791508"/>
      <w:r w:rsidRPr="00F6785D">
        <w:t xml:space="preserve">Curing must be carried out to meet the requirements of Table </w:t>
      </w:r>
      <w:r w:rsidRPr="00F6785D">
        <w:fldChar w:fldCharType="begin"/>
      </w:r>
      <w:r w:rsidRPr="00F6785D">
        <w:instrText xml:space="preserve"> REF _Ref7791508 \r \h  \* MERGEFORMAT </w:instrText>
      </w:r>
      <w:r w:rsidRPr="00F6785D">
        <w:fldChar w:fldCharType="separate"/>
      </w:r>
      <w:r w:rsidRPr="00F6785D">
        <w:t>6.44</w:t>
      </w:r>
      <w:r w:rsidRPr="00F6785D">
        <w:fldChar w:fldCharType="end"/>
      </w:r>
      <w:r w:rsidRPr="00F6785D">
        <w:t>, which replaces Table 2.4 of AS</w:t>
      </w:r>
      <w:r w:rsidR="00F01DA6">
        <w:t> </w:t>
      </w:r>
      <w:r w:rsidRPr="00F6785D">
        <w:t>1597.1.</w:t>
      </w:r>
      <w:bookmarkEnd w:id="68"/>
    </w:p>
    <w:p w14:paraId="58720453" w14:textId="291CC7CF" w:rsidR="00F01DA6" w:rsidRPr="00F6785D" w:rsidRDefault="00F01DA6" w:rsidP="00F01DA6">
      <w:pPr>
        <w:pStyle w:val="Caption"/>
      </w:pPr>
      <w:r w:rsidRPr="00F6785D">
        <w:t xml:space="preserve">Table </w:t>
      </w:r>
      <w:r w:rsidRPr="00F6785D">
        <w:fldChar w:fldCharType="begin"/>
      </w:r>
      <w:r w:rsidRPr="00F6785D">
        <w:instrText xml:space="preserve"> REF _Ref7791508 \r \h  \* MERGEFORMAT </w:instrText>
      </w:r>
      <w:r w:rsidRPr="00F6785D">
        <w:fldChar w:fldCharType="separate"/>
      </w:r>
      <w:r w:rsidRPr="00F6785D">
        <w:t>6.44</w:t>
      </w:r>
      <w:r w:rsidRPr="00F6785D">
        <w:fldChar w:fldCharType="end"/>
      </w:r>
      <w:r w:rsidRPr="00F6785D">
        <w:t xml:space="preserve">: Concrete </w:t>
      </w:r>
      <w:r>
        <w:t>c</w:t>
      </w:r>
      <w:r w:rsidRPr="00F6785D">
        <w:t xml:space="preserve">uring </w:t>
      </w:r>
      <w:r>
        <w:t>r</w:t>
      </w:r>
      <w:r w:rsidRPr="00F6785D">
        <w:t>equirements</w:t>
      </w:r>
    </w:p>
    <w:tbl>
      <w:tblPr>
        <w:tblStyle w:val="TableGrid"/>
        <w:tblW w:w="9072"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ayout w:type="fixed"/>
        <w:tblCellMar>
          <w:left w:w="57" w:type="dxa"/>
          <w:right w:w="57" w:type="dxa"/>
        </w:tblCellMar>
        <w:tblLook w:val="04A0" w:firstRow="1" w:lastRow="0" w:firstColumn="1" w:lastColumn="0" w:noHBand="0" w:noVBand="1"/>
      </w:tblPr>
      <w:tblGrid>
        <w:gridCol w:w="1749"/>
        <w:gridCol w:w="1512"/>
        <w:gridCol w:w="968"/>
        <w:gridCol w:w="969"/>
        <w:gridCol w:w="968"/>
        <w:gridCol w:w="969"/>
        <w:gridCol w:w="968"/>
        <w:gridCol w:w="969"/>
      </w:tblGrid>
      <w:tr w:rsidR="006364DC" w:rsidRPr="0043355C" w14:paraId="47DA795D" w14:textId="77777777" w:rsidTr="00F01DA6">
        <w:tc>
          <w:tcPr>
            <w:tcW w:w="1749" w:type="dxa"/>
            <w:vMerge w:val="restart"/>
            <w:shd w:val="clear" w:color="auto" w:fill="BFBFBF" w:themeFill="background1" w:themeFillShade="BF"/>
            <w:vAlign w:val="center"/>
          </w:tcPr>
          <w:p w14:paraId="7F8566E2" w14:textId="496C1089" w:rsidR="006364DC" w:rsidRPr="00F6785D" w:rsidRDefault="006364DC" w:rsidP="00F01DA6">
            <w:pPr>
              <w:pStyle w:val="TableHeading"/>
              <w:spacing w:line="240" w:lineRule="auto"/>
              <w:jc w:val="center"/>
              <w:rPr>
                <w:b w:val="0"/>
                <w:bCs/>
                <w:color w:val="000000" w:themeColor="text1"/>
              </w:rPr>
            </w:pPr>
            <w:bookmarkStart w:id="69" w:name="_Hlk14945799"/>
            <w:r w:rsidRPr="00F6785D">
              <w:rPr>
                <w:bCs/>
                <w:color w:val="000000" w:themeColor="text1"/>
              </w:rPr>
              <w:t xml:space="preserve">Minimum </w:t>
            </w:r>
            <w:r w:rsidR="00F6785D">
              <w:rPr>
                <w:bCs/>
                <w:color w:val="000000" w:themeColor="text1"/>
              </w:rPr>
              <w:t>c</w:t>
            </w:r>
            <w:r w:rsidRPr="00F6785D">
              <w:rPr>
                <w:bCs/>
                <w:color w:val="000000" w:themeColor="text1"/>
              </w:rPr>
              <w:t>haracteristic concrete compressive strength (</w:t>
            </w:r>
            <w:proofErr w:type="spellStart"/>
            <w:r w:rsidRPr="00F6785D">
              <w:rPr>
                <w:bCs/>
                <w:color w:val="000000" w:themeColor="text1"/>
              </w:rPr>
              <w:t>f’c</w:t>
            </w:r>
            <w:proofErr w:type="spellEnd"/>
            <w:r w:rsidRPr="00F6785D">
              <w:rPr>
                <w:bCs/>
                <w:color w:val="000000" w:themeColor="text1"/>
              </w:rPr>
              <w:t>)</w:t>
            </w:r>
            <w:r w:rsidR="00F6785D">
              <w:rPr>
                <w:bCs/>
                <w:color w:val="000000" w:themeColor="text1"/>
              </w:rPr>
              <w:t xml:space="preserve"> </w:t>
            </w:r>
            <w:r w:rsidR="00F6785D">
              <w:rPr>
                <w:bCs/>
                <w:color w:val="000000" w:themeColor="text1"/>
              </w:rPr>
              <w:br/>
            </w:r>
            <w:r w:rsidRPr="00F6785D">
              <w:rPr>
                <w:bCs/>
                <w:color w:val="000000" w:themeColor="text1"/>
              </w:rPr>
              <w:t>(MPa)</w:t>
            </w:r>
          </w:p>
        </w:tc>
        <w:tc>
          <w:tcPr>
            <w:tcW w:w="1512" w:type="dxa"/>
            <w:vMerge w:val="restart"/>
            <w:shd w:val="clear" w:color="auto" w:fill="BFBFBF" w:themeFill="background1" w:themeFillShade="BF"/>
            <w:vAlign w:val="center"/>
          </w:tcPr>
          <w:p w14:paraId="3BC8EE1A" w14:textId="0C241E5A" w:rsidR="006364DC" w:rsidRPr="00F6785D" w:rsidRDefault="006364DC" w:rsidP="00F01DA6">
            <w:pPr>
              <w:pStyle w:val="TableHeading"/>
              <w:spacing w:line="240" w:lineRule="auto"/>
              <w:jc w:val="center"/>
              <w:rPr>
                <w:b w:val="0"/>
                <w:bCs/>
                <w:color w:val="000000" w:themeColor="text1"/>
              </w:rPr>
            </w:pPr>
            <w:r w:rsidRPr="00F6785D">
              <w:rPr>
                <w:bCs/>
                <w:color w:val="000000" w:themeColor="text1"/>
              </w:rPr>
              <w:t>Required concrete compressive strength at completion of curing</w:t>
            </w:r>
            <w:r w:rsidR="00E65F89">
              <w:rPr>
                <w:bCs/>
                <w:color w:val="000000" w:themeColor="text1"/>
              </w:rPr>
              <w:t xml:space="preserve"> </w:t>
            </w:r>
            <w:r w:rsidRPr="00F6785D">
              <w:rPr>
                <w:bCs/>
                <w:color w:val="000000" w:themeColor="text1"/>
              </w:rPr>
              <w:t>(MPa)</w:t>
            </w:r>
          </w:p>
        </w:tc>
        <w:tc>
          <w:tcPr>
            <w:tcW w:w="5811" w:type="dxa"/>
            <w:gridSpan w:val="6"/>
            <w:shd w:val="clear" w:color="auto" w:fill="BFBFBF" w:themeFill="background1" w:themeFillShade="BF"/>
            <w:vAlign w:val="center"/>
          </w:tcPr>
          <w:p w14:paraId="26633AFB" w14:textId="2017A84D" w:rsidR="006364DC" w:rsidRPr="00F6785D" w:rsidRDefault="006364DC" w:rsidP="00F01DA6">
            <w:pPr>
              <w:pStyle w:val="TableHeading"/>
              <w:spacing w:line="240" w:lineRule="auto"/>
              <w:jc w:val="center"/>
              <w:rPr>
                <w:b w:val="0"/>
                <w:bCs/>
                <w:color w:val="000000" w:themeColor="text1"/>
              </w:rPr>
            </w:pPr>
            <w:r w:rsidRPr="00F6785D">
              <w:rPr>
                <w:bCs/>
                <w:color w:val="000000" w:themeColor="text1"/>
              </w:rPr>
              <w:t>Required minimum concrete age (days) and minimum maturity (°C </w:t>
            </w:r>
            <w:proofErr w:type="spellStart"/>
            <w:r w:rsidRPr="00F6785D">
              <w:rPr>
                <w:bCs/>
                <w:color w:val="000000" w:themeColor="text1"/>
              </w:rPr>
              <w:t>hrs</w:t>
            </w:r>
            <w:proofErr w:type="spellEnd"/>
            <w:r w:rsidRPr="00F6785D">
              <w:rPr>
                <w:bCs/>
                <w:color w:val="000000" w:themeColor="text1"/>
              </w:rPr>
              <w:t xml:space="preserve">) at completion of curing </w:t>
            </w:r>
            <w:r w:rsidR="00CB02D0">
              <w:rPr>
                <w:bCs/>
                <w:color w:val="000000" w:themeColor="text1"/>
              </w:rPr>
              <w:br/>
            </w:r>
            <w:r w:rsidRPr="00F6785D">
              <w:rPr>
                <w:bCs/>
                <w:color w:val="000000" w:themeColor="text1"/>
              </w:rPr>
              <w:t>(whichever occurs first)</w:t>
            </w:r>
          </w:p>
        </w:tc>
      </w:tr>
      <w:tr w:rsidR="006364DC" w:rsidRPr="0043355C" w14:paraId="3BB2294B" w14:textId="77777777" w:rsidTr="00F01DA6">
        <w:tc>
          <w:tcPr>
            <w:tcW w:w="1749" w:type="dxa"/>
            <w:vMerge/>
            <w:shd w:val="clear" w:color="auto" w:fill="BFBFBF" w:themeFill="background1" w:themeFillShade="BF"/>
            <w:vAlign w:val="center"/>
          </w:tcPr>
          <w:p w14:paraId="236EB7E2" w14:textId="77777777" w:rsidR="006364DC" w:rsidRPr="00F6785D" w:rsidRDefault="006364DC" w:rsidP="00F01DA6">
            <w:pPr>
              <w:pStyle w:val="TableHeading"/>
              <w:spacing w:line="240" w:lineRule="auto"/>
              <w:jc w:val="center"/>
              <w:rPr>
                <w:b w:val="0"/>
                <w:bCs/>
                <w:color w:val="000000" w:themeColor="text1"/>
              </w:rPr>
            </w:pPr>
          </w:p>
        </w:tc>
        <w:tc>
          <w:tcPr>
            <w:tcW w:w="1512" w:type="dxa"/>
            <w:vMerge/>
            <w:shd w:val="clear" w:color="auto" w:fill="BFBFBF" w:themeFill="background1" w:themeFillShade="BF"/>
            <w:vAlign w:val="center"/>
          </w:tcPr>
          <w:p w14:paraId="69911D6F" w14:textId="77777777" w:rsidR="006364DC" w:rsidRPr="00F6785D" w:rsidRDefault="006364DC" w:rsidP="00F01DA6">
            <w:pPr>
              <w:pStyle w:val="TableHeading"/>
              <w:spacing w:line="240" w:lineRule="auto"/>
              <w:jc w:val="center"/>
              <w:rPr>
                <w:b w:val="0"/>
                <w:bCs/>
                <w:color w:val="000000" w:themeColor="text1"/>
              </w:rPr>
            </w:pPr>
          </w:p>
        </w:tc>
        <w:tc>
          <w:tcPr>
            <w:tcW w:w="1937" w:type="dxa"/>
            <w:gridSpan w:val="2"/>
            <w:shd w:val="clear" w:color="auto" w:fill="BFBFBF" w:themeFill="background1" w:themeFillShade="BF"/>
            <w:vAlign w:val="center"/>
          </w:tcPr>
          <w:p w14:paraId="7F231E56" w14:textId="77777777" w:rsidR="006364DC" w:rsidRPr="00F01DA6" w:rsidRDefault="006364DC" w:rsidP="00F01DA6">
            <w:pPr>
              <w:pStyle w:val="TableHeading"/>
              <w:spacing w:line="240" w:lineRule="auto"/>
              <w:jc w:val="center"/>
              <w:rPr>
                <w:bCs/>
                <w:color w:val="000000" w:themeColor="text1"/>
              </w:rPr>
            </w:pPr>
            <w:r w:rsidRPr="00F01DA6">
              <w:rPr>
                <w:bCs/>
                <w:color w:val="000000" w:themeColor="text1"/>
              </w:rPr>
              <w:t>Moist</w:t>
            </w:r>
          </w:p>
        </w:tc>
        <w:tc>
          <w:tcPr>
            <w:tcW w:w="1937" w:type="dxa"/>
            <w:gridSpan w:val="2"/>
            <w:shd w:val="clear" w:color="auto" w:fill="BFBFBF" w:themeFill="background1" w:themeFillShade="BF"/>
            <w:vAlign w:val="center"/>
          </w:tcPr>
          <w:p w14:paraId="014FC27B" w14:textId="77777777" w:rsidR="006364DC" w:rsidRPr="00F01DA6" w:rsidRDefault="006364DC" w:rsidP="00F01DA6">
            <w:pPr>
              <w:pStyle w:val="TableHeading"/>
              <w:spacing w:line="240" w:lineRule="auto"/>
              <w:jc w:val="center"/>
              <w:rPr>
                <w:bCs/>
                <w:color w:val="000000" w:themeColor="text1"/>
              </w:rPr>
            </w:pPr>
            <w:r w:rsidRPr="00F01DA6">
              <w:rPr>
                <w:bCs/>
                <w:color w:val="000000" w:themeColor="text1"/>
              </w:rPr>
              <w:t>Membrane</w:t>
            </w:r>
          </w:p>
        </w:tc>
        <w:tc>
          <w:tcPr>
            <w:tcW w:w="1937" w:type="dxa"/>
            <w:gridSpan w:val="2"/>
            <w:shd w:val="clear" w:color="auto" w:fill="BFBFBF" w:themeFill="background1" w:themeFillShade="BF"/>
            <w:vAlign w:val="center"/>
          </w:tcPr>
          <w:p w14:paraId="6BE49843" w14:textId="77777777" w:rsidR="006364DC" w:rsidRPr="00F01DA6" w:rsidRDefault="006364DC" w:rsidP="00F01DA6">
            <w:pPr>
              <w:pStyle w:val="TableHeading"/>
              <w:spacing w:line="240" w:lineRule="auto"/>
              <w:jc w:val="center"/>
              <w:rPr>
                <w:bCs/>
                <w:color w:val="000000" w:themeColor="text1"/>
              </w:rPr>
            </w:pPr>
            <w:r w:rsidRPr="00F01DA6">
              <w:rPr>
                <w:bCs/>
                <w:color w:val="000000" w:themeColor="text1"/>
              </w:rPr>
              <w:t>Accelerated</w:t>
            </w:r>
          </w:p>
        </w:tc>
      </w:tr>
      <w:tr w:rsidR="006364DC" w:rsidRPr="0043355C" w14:paraId="59BABB67" w14:textId="77777777" w:rsidTr="00CB02D0">
        <w:tc>
          <w:tcPr>
            <w:tcW w:w="1749" w:type="dxa"/>
            <w:vMerge/>
            <w:tcBorders>
              <w:bottom w:val="single" w:sz="4" w:space="0" w:color="FFFFFF" w:themeColor="background1"/>
            </w:tcBorders>
            <w:shd w:val="clear" w:color="auto" w:fill="BFBFBF" w:themeFill="background1" w:themeFillShade="BF"/>
            <w:vAlign w:val="center"/>
          </w:tcPr>
          <w:p w14:paraId="3CE6F74A" w14:textId="77777777" w:rsidR="006364DC" w:rsidRPr="00F6785D" w:rsidRDefault="006364DC" w:rsidP="00F01DA6">
            <w:pPr>
              <w:pStyle w:val="TableHeading"/>
              <w:spacing w:line="240" w:lineRule="auto"/>
              <w:jc w:val="center"/>
              <w:rPr>
                <w:b w:val="0"/>
                <w:bCs/>
                <w:color w:val="000000" w:themeColor="text1"/>
              </w:rPr>
            </w:pPr>
          </w:p>
        </w:tc>
        <w:tc>
          <w:tcPr>
            <w:tcW w:w="1512" w:type="dxa"/>
            <w:vMerge/>
            <w:tcBorders>
              <w:bottom w:val="single" w:sz="4" w:space="0" w:color="FFFFFF" w:themeColor="background1"/>
            </w:tcBorders>
            <w:shd w:val="clear" w:color="auto" w:fill="BFBFBF" w:themeFill="background1" w:themeFillShade="BF"/>
            <w:vAlign w:val="center"/>
          </w:tcPr>
          <w:p w14:paraId="03A9B1F2" w14:textId="77777777" w:rsidR="006364DC" w:rsidRPr="00F6785D" w:rsidRDefault="006364DC" w:rsidP="00F01DA6">
            <w:pPr>
              <w:pStyle w:val="TableHeading"/>
              <w:spacing w:line="240" w:lineRule="auto"/>
              <w:jc w:val="center"/>
              <w:rPr>
                <w:b w:val="0"/>
                <w:bCs/>
                <w:color w:val="000000" w:themeColor="text1"/>
              </w:rPr>
            </w:pPr>
          </w:p>
        </w:tc>
        <w:tc>
          <w:tcPr>
            <w:tcW w:w="968" w:type="dxa"/>
            <w:tcBorders>
              <w:bottom w:val="single" w:sz="4" w:space="0" w:color="FFFFFF" w:themeColor="background1"/>
            </w:tcBorders>
            <w:shd w:val="clear" w:color="auto" w:fill="BFBFBF" w:themeFill="background1" w:themeFillShade="BF"/>
            <w:vAlign w:val="center"/>
          </w:tcPr>
          <w:p w14:paraId="201C3F26" w14:textId="77777777" w:rsidR="006364DC" w:rsidRPr="00F01DA6" w:rsidRDefault="006364DC" w:rsidP="00F01DA6">
            <w:pPr>
              <w:pStyle w:val="TableHeading"/>
              <w:spacing w:line="240" w:lineRule="auto"/>
              <w:jc w:val="center"/>
              <w:rPr>
                <w:bCs/>
                <w:color w:val="000000" w:themeColor="text1"/>
              </w:rPr>
            </w:pPr>
            <w:r w:rsidRPr="00F01DA6">
              <w:rPr>
                <w:bCs/>
                <w:color w:val="000000" w:themeColor="text1"/>
              </w:rPr>
              <w:t>Age</w:t>
            </w:r>
            <w:r w:rsidRPr="00F01DA6">
              <w:rPr>
                <w:bCs/>
                <w:color w:val="000000" w:themeColor="text1"/>
              </w:rPr>
              <w:br/>
              <w:t>(Days)</w:t>
            </w:r>
          </w:p>
        </w:tc>
        <w:tc>
          <w:tcPr>
            <w:tcW w:w="969" w:type="dxa"/>
            <w:tcBorders>
              <w:bottom w:val="single" w:sz="4" w:space="0" w:color="FFFFFF" w:themeColor="background1"/>
            </w:tcBorders>
            <w:shd w:val="clear" w:color="auto" w:fill="BFBFBF" w:themeFill="background1" w:themeFillShade="BF"/>
            <w:vAlign w:val="center"/>
          </w:tcPr>
          <w:p w14:paraId="76AF4B0D" w14:textId="77777777" w:rsidR="006364DC" w:rsidRPr="00F01DA6" w:rsidRDefault="006364DC" w:rsidP="00F01DA6">
            <w:pPr>
              <w:pStyle w:val="TableHeading"/>
              <w:spacing w:line="240" w:lineRule="auto"/>
              <w:jc w:val="center"/>
              <w:rPr>
                <w:bCs/>
                <w:color w:val="000000" w:themeColor="text1"/>
              </w:rPr>
            </w:pPr>
            <w:r w:rsidRPr="00F01DA6">
              <w:rPr>
                <w:bCs/>
                <w:color w:val="000000" w:themeColor="text1"/>
              </w:rPr>
              <w:t>Maturity</w:t>
            </w:r>
            <w:r w:rsidRPr="00F01DA6">
              <w:rPr>
                <w:bCs/>
                <w:color w:val="000000" w:themeColor="text1"/>
              </w:rPr>
              <w:br/>
              <w:t xml:space="preserve">(°C </w:t>
            </w:r>
            <w:proofErr w:type="spellStart"/>
            <w:r w:rsidRPr="00F01DA6">
              <w:rPr>
                <w:bCs/>
                <w:color w:val="000000" w:themeColor="text1"/>
              </w:rPr>
              <w:t>hrs</w:t>
            </w:r>
            <w:proofErr w:type="spellEnd"/>
            <w:r w:rsidRPr="00F01DA6">
              <w:rPr>
                <w:bCs/>
                <w:color w:val="000000" w:themeColor="text1"/>
              </w:rPr>
              <w:t>)</w:t>
            </w:r>
          </w:p>
        </w:tc>
        <w:tc>
          <w:tcPr>
            <w:tcW w:w="968" w:type="dxa"/>
            <w:tcBorders>
              <w:bottom w:val="single" w:sz="4" w:space="0" w:color="FFFFFF" w:themeColor="background1"/>
            </w:tcBorders>
            <w:shd w:val="clear" w:color="auto" w:fill="BFBFBF" w:themeFill="background1" w:themeFillShade="BF"/>
            <w:vAlign w:val="center"/>
          </w:tcPr>
          <w:p w14:paraId="3DDF1F0B" w14:textId="77777777" w:rsidR="006364DC" w:rsidRPr="00F01DA6" w:rsidRDefault="006364DC" w:rsidP="00F01DA6">
            <w:pPr>
              <w:pStyle w:val="TableHeading"/>
              <w:spacing w:line="240" w:lineRule="auto"/>
              <w:jc w:val="center"/>
              <w:rPr>
                <w:bCs/>
                <w:color w:val="000000" w:themeColor="text1"/>
              </w:rPr>
            </w:pPr>
            <w:r w:rsidRPr="00F01DA6">
              <w:rPr>
                <w:bCs/>
                <w:color w:val="000000" w:themeColor="text1"/>
              </w:rPr>
              <w:t>Age</w:t>
            </w:r>
            <w:r w:rsidRPr="00F01DA6">
              <w:rPr>
                <w:bCs/>
                <w:color w:val="000000" w:themeColor="text1"/>
              </w:rPr>
              <w:br/>
              <w:t>(Days)</w:t>
            </w:r>
          </w:p>
        </w:tc>
        <w:tc>
          <w:tcPr>
            <w:tcW w:w="969" w:type="dxa"/>
            <w:tcBorders>
              <w:bottom w:val="single" w:sz="4" w:space="0" w:color="FFFFFF" w:themeColor="background1"/>
            </w:tcBorders>
            <w:shd w:val="clear" w:color="auto" w:fill="BFBFBF" w:themeFill="background1" w:themeFillShade="BF"/>
            <w:vAlign w:val="center"/>
          </w:tcPr>
          <w:p w14:paraId="33B6C370" w14:textId="77777777" w:rsidR="006364DC" w:rsidRPr="00F01DA6" w:rsidRDefault="006364DC" w:rsidP="00F01DA6">
            <w:pPr>
              <w:pStyle w:val="TableHeading"/>
              <w:spacing w:line="240" w:lineRule="auto"/>
              <w:jc w:val="center"/>
              <w:rPr>
                <w:bCs/>
                <w:color w:val="000000" w:themeColor="text1"/>
              </w:rPr>
            </w:pPr>
            <w:r w:rsidRPr="00F01DA6">
              <w:rPr>
                <w:bCs/>
                <w:color w:val="000000" w:themeColor="text1"/>
              </w:rPr>
              <w:t>Maturity</w:t>
            </w:r>
            <w:r w:rsidRPr="00F01DA6">
              <w:rPr>
                <w:bCs/>
                <w:color w:val="000000" w:themeColor="text1"/>
              </w:rPr>
              <w:br/>
              <w:t xml:space="preserve">(°C </w:t>
            </w:r>
            <w:proofErr w:type="spellStart"/>
            <w:r w:rsidRPr="00F01DA6">
              <w:rPr>
                <w:bCs/>
                <w:color w:val="000000" w:themeColor="text1"/>
              </w:rPr>
              <w:t>hrs</w:t>
            </w:r>
            <w:proofErr w:type="spellEnd"/>
            <w:r w:rsidRPr="00F01DA6">
              <w:rPr>
                <w:bCs/>
                <w:color w:val="000000" w:themeColor="text1"/>
              </w:rPr>
              <w:t>)</w:t>
            </w:r>
          </w:p>
        </w:tc>
        <w:tc>
          <w:tcPr>
            <w:tcW w:w="968" w:type="dxa"/>
            <w:tcBorders>
              <w:bottom w:val="single" w:sz="4" w:space="0" w:color="FFFFFF" w:themeColor="background1"/>
            </w:tcBorders>
            <w:shd w:val="clear" w:color="auto" w:fill="BFBFBF" w:themeFill="background1" w:themeFillShade="BF"/>
            <w:vAlign w:val="center"/>
          </w:tcPr>
          <w:p w14:paraId="05745C62" w14:textId="77777777" w:rsidR="006364DC" w:rsidRPr="00F01DA6" w:rsidRDefault="006364DC" w:rsidP="00F01DA6">
            <w:pPr>
              <w:pStyle w:val="TableHeading"/>
              <w:spacing w:line="240" w:lineRule="auto"/>
              <w:jc w:val="center"/>
              <w:rPr>
                <w:bCs/>
                <w:color w:val="000000" w:themeColor="text1"/>
              </w:rPr>
            </w:pPr>
            <w:r w:rsidRPr="00F01DA6">
              <w:rPr>
                <w:bCs/>
                <w:color w:val="000000" w:themeColor="text1"/>
              </w:rPr>
              <w:t>Age</w:t>
            </w:r>
            <w:r w:rsidRPr="00F01DA6">
              <w:rPr>
                <w:bCs/>
                <w:color w:val="000000" w:themeColor="text1"/>
              </w:rPr>
              <w:br/>
              <w:t>(Days)</w:t>
            </w:r>
          </w:p>
        </w:tc>
        <w:tc>
          <w:tcPr>
            <w:tcW w:w="969" w:type="dxa"/>
            <w:tcBorders>
              <w:bottom w:val="single" w:sz="4" w:space="0" w:color="FFFFFF" w:themeColor="background1"/>
            </w:tcBorders>
            <w:shd w:val="clear" w:color="auto" w:fill="BFBFBF" w:themeFill="background1" w:themeFillShade="BF"/>
            <w:vAlign w:val="center"/>
          </w:tcPr>
          <w:p w14:paraId="5C08D405" w14:textId="77777777" w:rsidR="006364DC" w:rsidRPr="00F01DA6" w:rsidRDefault="006364DC" w:rsidP="00F01DA6">
            <w:pPr>
              <w:pStyle w:val="TableHeading"/>
              <w:spacing w:line="240" w:lineRule="auto"/>
              <w:jc w:val="center"/>
              <w:rPr>
                <w:bCs/>
                <w:color w:val="000000" w:themeColor="text1"/>
              </w:rPr>
            </w:pPr>
            <w:r w:rsidRPr="00F01DA6">
              <w:rPr>
                <w:bCs/>
                <w:color w:val="000000" w:themeColor="text1"/>
              </w:rPr>
              <w:t>Maturity</w:t>
            </w:r>
            <w:r w:rsidRPr="00F01DA6">
              <w:rPr>
                <w:bCs/>
                <w:color w:val="000000" w:themeColor="text1"/>
              </w:rPr>
              <w:br/>
              <w:t xml:space="preserve">(°C </w:t>
            </w:r>
            <w:proofErr w:type="spellStart"/>
            <w:r w:rsidRPr="00F01DA6">
              <w:rPr>
                <w:bCs/>
                <w:color w:val="000000" w:themeColor="text1"/>
              </w:rPr>
              <w:t>hrs</w:t>
            </w:r>
            <w:proofErr w:type="spellEnd"/>
            <w:r w:rsidRPr="00F01DA6">
              <w:rPr>
                <w:bCs/>
                <w:color w:val="000000" w:themeColor="text1"/>
              </w:rPr>
              <w:t>)</w:t>
            </w:r>
          </w:p>
        </w:tc>
      </w:tr>
      <w:tr w:rsidR="006364DC" w:rsidRPr="0043355C" w14:paraId="00C3558E" w14:textId="77777777" w:rsidTr="00F01DA6">
        <w:tc>
          <w:tcPr>
            <w:tcW w:w="1749" w:type="dxa"/>
            <w:shd w:val="clear" w:color="auto" w:fill="D9D9D9" w:themeFill="background1" w:themeFillShade="D9"/>
            <w:vAlign w:val="center"/>
          </w:tcPr>
          <w:p w14:paraId="6BB4345C" w14:textId="77777777" w:rsidR="006364DC" w:rsidRPr="00F6785D" w:rsidRDefault="006364DC" w:rsidP="00F01DA6">
            <w:pPr>
              <w:pStyle w:val="TableBodyText"/>
              <w:ind w:left="0"/>
              <w:jc w:val="center"/>
            </w:pPr>
            <w:r w:rsidRPr="00F6785D">
              <w:t>40</w:t>
            </w:r>
          </w:p>
        </w:tc>
        <w:tc>
          <w:tcPr>
            <w:tcW w:w="1512" w:type="dxa"/>
            <w:shd w:val="clear" w:color="auto" w:fill="D9D9D9" w:themeFill="background1" w:themeFillShade="D9"/>
            <w:vAlign w:val="center"/>
          </w:tcPr>
          <w:p w14:paraId="7B49945F" w14:textId="77777777" w:rsidR="006364DC" w:rsidRPr="00F6785D" w:rsidRDefault="006364DC" w:rsidP="00F01DA6">
            <w:pPr>
              <w:pStyle w:val="TableBodyText"/>
              <w:ind w:left="0"/>
              <w:jc w:val="center"/>
            </w:pPr>
            <w:r w:rsidRPr="00F6785D">
              <w:t>28</w:t>
            </w:r>
          </w:p>
        </w:tc>
        <w:tc>
          <w:tcPr>
            <w:tcW w:w="968" w:type="dxa"/>
            <w:vMerge w:val="restart"/>
            <w:shd w:val="clear" w:color="auto" w:fill="D9D9D9" w:themeFill="background1" w:themeFillShade="D9"/>
            <w:vAlign w:val="center"/>
          </w:tcPr>
          <w:p w14:paraId="50CDF087" w14:textId="77777777" w:rsidR="006364DC" w:rsidRPr="00F6785D" w:rsidRDefault="006364DC" w:rsidP="00F01DA6">
            <w:pPr>
              <w:pStyle w:val="TableBodyText"/>
              <w:ind w:left="0"/>
              <w:jc w:val="center"/>
            </w:pPr>
            <w:r w:rsidRPr="00F6785D">
              <w:t>7</w:t>
            </w:r>
          </w:p>
        </w:tc>
        <w:tc>
          <w:tcPr>
            <w:tcW w:w="969" w:type="dxa"/>
            <w:vMerge w:val="restart"/>
            <w:shd w:val="clear" w:color="auto" w:fill="D9D9D9" w:themeFill="background1" w:themeFillShade="D9"/>
            <w:vAlign w:val="center"/>
          </w:tcPr>
          <w:p w14:paraId="07915A2A" w14:textId="77777777" w:rsidR="006364DC" w:rsidRPr="00F6785D" w:rsidRDefault="006364DC" w:rsidP="00F01DA6">
            <w:pPr>
              <w:pStyle w:val="TableBodyText"/>
              <w:ind w:left="0"/>
              <w:jc w:val="center"/>
            </w:pPr>
            <w:r w:rsidRPr="00F6785D">
              <w:t>3864</w:t>
            </w:r>
          </w:p>
        </w:tc>
        <w:tc>
          <w:tcPr>
            <w:tcW w:w="968" w:type="dxa"/>
            <w:vMerge w:val="restart"/>
            <w:shd w:val="clear" w:color="auto" w:fill="D9D9D9" w:themeFill="background1" w:themeFillShade="D9"/>
            <w:vAlign w:val="center"/>
          </w:tcPr>
          <w:p w14:paraId="6E3CBF0B" w14:textId="77777777" w:rsidR="006364DC" w:rsidRPr="00F6785D" w:rsidRDefault="006364DC" w:rsidP="00F01DA6">
            <w:pPr>
              <w:pStyle w:val="TableBodyText"/>
              <w:ind w:left="0"/>
              <w:jc w:val="center"/>
            </w:pPr>
            <w:r w:rsidRPr="00F6785D">
              <w:t>7</w:t>
            </w:r>
          </w:p>
        </w:tc>
        <w:tc>
          <w:tcPr>
            <w:tcW w:w="969" w:type="dxa"/>
            <w:vMerge w:val="restart"/>
            <w:shd w:val="clear" w:color="auto" w:fill="D9D9D9" w:themeFill="background1" w:themeFillShade="D9"/>
            <w:vAlign w:val="center"/>
          </w:tcPr>
          <w:p w14:paraId="2B79F545" w14:textId="77777777" w:rsidR="006364DC" w:rsidRPr="00F6785D" w:rsidRDefault="006364DC" w:rsidP="00F01DA6">
            <w:pPr>
              <w:pStyle w:val="TableBodyText"/>
              <w:ind w:left="0"/>
              <w:jc w:val="center"/>
            </w:pPr>
            <w:r w:rsidRPr="00F6785D">
              <w:t>3864</w:t>
            </w:r>
          </w:p>
        </w:tc>
        <w:tc>
          <w:tcPr>
            <w:tcW w:w="968" w:type="dxa"/>
            <w:vMerge w:val="restart"/>
            <w:shd w:val="clear" w:color="auto" w:fill="D9D9D9" w:themeFill="background1" w:themeFillShade="D9"/>
            <w:vAlign w:val="center"/>
          </w:tcPr>
          <w:p w14:paraId="00C31DAE" w14:textId="77777777" w:rsidR="006364DC" w:rsidRPr="00F6785D" w:rsidRDefault="006364DC" w:rsidP="00F01DA6">
            <w:pPr>
              <w:pStyle w:val="TableBodyText"/>
              <w:ind w:left="0"/>
              <w:jc w:val="center"/>
            </w:pPr>
            <w:r w:rsidRPr="00F6785D">
              <w:t>-</w:t>
            </w:r>
          </w:p>
        </w:tc>
        <w:tc>
          <w:tcPr>
            <w:tcW w:w="969" w:type="dxa"/>
            <w:vMerge w:val="restart"/>
            <w:shd w:val="clear" w:color="auto" w:fill="D9D9D9" w:themeFill="background1" w:themeFillShade="D9"/>
            <w:vAlign w:val="center"/>
          </w:tcPr>
          <w:p w14:paraId="585645DF" w14:textId="77777777" w:rsidR="006364DC" w:rsidRPr="00F6785D" w:rsidRDefault="006364DC" w:rsidP="00F01DA6">
            <w:pPr>
              <w:pStyle w:val="TableBodyText"/>
              <w:ind w:left="0"/>
              <w:jc w:val="center"/>
            </w:pPr>
            <w:r w:rsidRPr="00F6785D">
              <w:t>550</w:t>
            </w:r>
          </w:p>
        </w:tc>
      </w:tr>
      <w:tr w:rsidR="006364DC" w:rsidRPr="0043355C" w14:paraId="241A16D0" w14:textId="77777777" w:rsidTr="00CB02D0">
        <w:tc>
          <w:tcPr>
            <w:tcW w:w="1749" w:type="dxa"/>
            <w:tcBorders>
              <w:bottom w:val="single" w:sz="4" w:space="0" w:color="7F7F7F" w:themeColor="text1" w:themeTint="80"/>
            </w:tcBorders>
            <w:shd w:val="clear" w:color="auto" w:fill="D9D9D9" w:themeFill="background1" w:themeFillShade="D9"/>
            <w:vAlign w:val="center"/>
          </w:tcPr>
          <w:p w14:paraId="60B5E9D9" w14:textId="77777777" w:rsidR="006364DC" w:rsidRPr="00F6785D" w:rsidRDefault="006364DC" w:rsidP="00F01DA6">
            <w:pPr>
              <w:pStyle w:val="TableBodyText"/>
              <w:jc w:val="center"/>
            </w:pPr>
            <w:r w:rsidRPr="00F6785D">
              <w:t>≥ 50</w:t>
            </w:r>
          </w:p>
        </w:tc>
        <w:tc>
          <w:tcPr>
            <w:tcW w:w="1512" w:type="dxa"/>
            <w:tcBorders>
              <w:bottom w:val="single" w:sz="4" w:space="0" w:color="7F7F7F" w:themeColor="text1" w:themeTint="80"/>
            </w:tcBorders>
            <w:shd w:val="clear" w:color="auto" w:fill="D9D9D9" w:themeFill="background1" w:themeFillShade="D9"/>
            <w:vAlign w:val="center"/>
          </w:tcPr>
          <w:p w14:paraId="3DD90BB1" w14:textId="77777777" w:rsidR="006364DC" w:rsidRPr="00F6785D" w:rsidRDefault="006364DC" w:rsidP="00F01DA6">
            <w:pPr>
              <w:pStyle w:val="TableBodyText"/>
              <w:jc w:val="center"/>
            </w:pPr>
            <w:r w:rsidRPr="00F6785D">
              <w:t>35</w:t>
            </w:r>
          </w:p>
        </w:tc>
        <w:tc>
          <w:tcPr>
            <w:tcW w:w="968" w:type="dxa"/>
            <w:vMerge/>
            <w:tcBorders>
              <w:bottom w:val="single" w:sz="4" w:space="0" w:color="7F7F7F" w:themeColor="text1" w:themeTint="80"/>
            </w:tcBorders>
            <w:shd w:val="clear" w:color="auto" w:fill="D9D9D9" w:themeFill="background1" w:themeFillShade="D9"/>
            <w:vAlign w:val="center"/>
          </w:tcPr>
          <w:p w14:paraId="4AA24CC8" w14:textId="77777777" w:rsidR="006364DC" w:rsidRPr="0043355C" w:rsidRDefault="006364DC" w:rsidP="006364DC">
            <w:pPr>
              <w:pStyle w:val="BodyText"/>
            </w:pPr>
          </w:p>
        </w:tc>
        <w:tc>
          <w:tcPr>
            <w:tcW w:w="969" w:type="dxa"/>
            <w:vMerge/>
            <w:tcBorders>
              <w:bottom w:val="single" w:sz="4" w:space="0" w:color="7F7F7F" w:themeColor="text1" w:themeTint="80"/>
            </w:tcBorders>
            <w:shd w:val="clear" w:color="auto" w:fill="D9D9D9" w:themeFill="background1" w:themeFillShade="D9"/>
            <w:vAlign w:val="center"/>
          </w:tcPr>
          <w:p w14:paraId="4F68796F" w14:textId="77777777" w:rsidR="006364DC" w:rsidRPr="0043355C" w:rsidRDefault="006364DC" w:rsidP="006364DC">
            <w:pPr>
              <w:pStyle w:val="BodyText"/>
            </w:pPr>
          </w:p>
        </w:tc>
        <w:tc>
          <w:tcPr>
            <w:tcW w:w="968" w:type="dxa"/>
            <w:vMerge/>
            <w:tcBorders>
              <w:bottom w:val="single" w:sz="4" w:space="0" w:color="7F7F7F" w:themeColor="text1" w:themeTint="80"/>
            </w:tcBorders>
            <w:shd w:val="clear" w:color="auto" w:fill="D9D9D9" w:themeFill="background1" w:themeFillShade="D9"/>
            <w:vAlign w:val="center"/>
          </w:tcPr>
          <w:p w14:paraId="76077CED" w14:textId="77777777" w:rsidR="006364DC" w:rsidRPr="0043355C" w:rsidRDefault="006364DC" w:rsidP="006364DC">
            <w:pPr>
              <w:pStyle w:val="BodyText"/>
            </w:pPr>
          </w:p>
        </w:tc>
        <w:tc>
          <w:tcPr>
            <w:tcW w:w="969" w:type="dxa"/>
            <w:vMerge/>
            <w:tcBorders>
              <w:bottom w:val="single" w:sz="4" w:space="0" w:color="7F7F7F" w:themeColor="text1" w:themeTint="80"/>
            </w:tcBorders>
            <w:shd w:val="clear" w:color="auto" w:fill="D9D9D9" w:themeFill="background1" w:themeFillShade="D9"/>
            <w:vAlign w:val="center"/>
          </w:tcPr>
          <w:p w14:paraId="185075A1" w14:textId="77777777" w:rsidR="006364DC" w:rsidRPr="0043355C" w:rsidRDefault="006364DC" w:rsidP="006364DC">
            <w:pPr>
              <w:pStyle w:val="BodyText"/>
            </w:pPr>
          </w:p>
        </w:tc>
        <w:tc>
          <w:tcPr>
            <w:tcW w:w="968" w:type="dxa"/>
            <w:vMerge/>
            <w:tcBorders>
              <w:bottom w:val="single" w:sz="4" w:space="0" w:color="7F7F7F" w:themeColor="text1" w:themeTint="80"/>
            </w:tcBorders>
            <w:shd w:val="clear" w:color="auto" w:fill="D9D9D9" w:themeFill="background1" w:themeFillShade="D9"/>
            <w:vAlign w:val="center"/>
          </w:tcPr>
          <w:p w14:paraId="61BD59C2" w14:textId="77777777" w:rsidR="006364DC" w:rsidRPr="0043355C" w:rsidRDefault="006364DC" w:rsidP="006364DC">
            <w:pPr>
              <w:pStyle w:val="BodyText"/>
            </w:pPr>
          </w:p>
        </w:tc>
        <w:tc>
          <w:tcPr>
            <w:tcW w:w="969" w:type="dxa"/>
            <w:vMerge/>
            <w:tcBorders>
              <w:bottom w:val="single" w:sz="4" w:space="0" w:color="7F7F7F" w:themeColor="text1" w:themeTint="80"/>
            </w:tcBorders>
            <w:shd w:val="clear" w:color="auto" w:fill="D9D9D9" w:themeFill="background1" w:themeFillShade="D9"/>
            <w:vAlign w:val="center"/>
          </w:tcPr>
          <w:p w14:paraId="38295120" w14:textId="77777777" w:rsidR="006364DC" w:rsidRPr="0043355C" w:rsidRDefault="006364DC" w:rsidP="006364DC">
            <w:pPr>
              <w:pStyle w:val="BodyText"/>
            </w:pPr>
          </w:p>
        </w:tc>
      </w:tr>
    </w:tbl>
    <w:bookmarkEnd w:id="69"/>
    <w:p w14:paraId="17E9E967" w14:textId="77777777" w:rsidR="006364DC" w:rsidRPr="0043355C" w:rsidRDefault="006364DC" w:rsidP="006364DC">
      <w:pPr>
        <w:pStyle w:val="Notes"/>
        <w:numPr>
          <w:ilvl w:val="0"/>
          <w:numId w:val="0"/>
        </w:numPr>
        <w:ind w:left="1276" w:hanging="567"/>
      </w:pPr>
      <w:r w:rsidRPr="0043355C">
        <w:t>Notes:</w:t>
      </w:r>
    </w:p>
    <w:p w14:paraId="03ABE4F8" w14:textId="757A9216" w:rsidR="006364DC" w:rsidRPr="00F6785D" w:rsidRDefault="006364DC" w:rsidP="007D4887">
      <w:pPr>
        <w:pStyle w:val="Notes"/>
        <w:numPr>
          <w:ilvl w:val="0"/>
          <w:numId w:val="28"/>
        </w:numPr>
        <w:ind w:hanging="436"/>
      </w:pPr>
      <w:r w:rsidRPr="00F6785D">
        <w:t>For concrete exposure classification U (as defined in AS5100.5), curing must in accordance with the drawings or as specified.</w:t>
      </w:r>
    </w:p>
    <w:p w14:paraId="747BBBAF" w14:textId="77777777" w:rsidR="006364DC" w:rsidRPr="00F6785D" w:rsidRDefault="006364DC" w:rsidP="007D4887">
      <w:pPr>
        <w:pStyle w:val="Notes"/>
        <w:numPr>
          <w:ilvl w:val="0"/>
          <w:numId w:val="28"/>
        </w:numPr>
        <w:ind w:hanging="436"/>
      </w:pPr>
      <w:r w:rsidRPr="00F6785D">
        <w:t>The required concrete compressive strengths at completion of curing are based on a compressive strength at completion of curing = 0.7 </w:t>
      </w:r>
      <w:proofErr w:type="spellStart"/>
      <w:r w:rsidRPr="00F6785D">
        <w:t>f’c</w:t>
      </w:r>
      <w:proofErr w:type="spellEnd"/>
      <w:r w:rsidRPr="00F6785D">
        <w:t>. The Contractor may submit a proposal to the Principal to use partial accelerated curing followed immediately by membrane curing.</w:t>
      </w:r>
    </w:p>
    <w:p w14:paraId="49DC0E40" w14:textId="733678FA" w:rsidR="006364DC" w:rsidRPr="00F6785D" w:rsidRDefault="006364DC" w:rsidP="007D4887">
      <w:pPr>
        <w:pStyle w:val="Notes"/>
        <w:numPr>
          <w:ilvl w:val="0"/>
          <w:numId w:val="28"/>
        </w:numPr>
        <w:ind w:hanging="436"/>
      </w:pPr>
      <w:r w:rsidRPr="00F6785D">
        <w:t xml:space="preserve">Any curing compounds must comply with the requirements of AS 3799. Two coats of curing compound at a minimum rate of 0.2 litres per m2 is required. </w:t>
      </w:r>
    </w:p>
    <w:p w14:paraId="1A1B99D3" w14:textId="77777777" w:rsidR="006364DC" w:rsidRPr="00F6785D" w:rsidRDefault="006364DC" w:rsidP="007D4887">
      <w:pPr>
        <w:pStyle w:val="Notes"/>
        <w:numPr>
          <w:ilvl w:val="0"/>
          <w:numId w:val="28"/>
        </w:numPr>
        <w:ind w:hanging="436"/>
      </w:pPr>
      <w:r w:rsidRPr="00F6785D">
        <w:t>Accelerated curing must be conducted in accordance with the requirements in Appendix C of AS1597.1</w:t>
      </w:r>
    </w:p>
    <w:p w14:paraId="40760026" w14:textId="77777777" w:rsidR="00020B79" w:rsidRDefault="006364DC" w:rsidP="00F6785D">
      <w:pPr>
        <w:pStyle w:val="Heading2"/>
      </w:pPr>
      <w:bookmarkStart w:id="70" w:name="_Toc42767696"/>
      <w:r w:rsidRPr="0043355C">
        <w:t>Internal Dimensions</w:t>
      </w:r>
      <w:bookmarkEnd w:id="70"/>
      <w:r w:rsidRPr="0043355C">
        <w:t xml:space="preserve"> </w:t>
      </w:r>
    </w:p>
    <w:p w14:paraId="2FE8EEB2" w14:textId="41785587" w:rsidR="006364DC" w:rsidRPr="0043355C" w:rsidRDefault="006364DC" w:rsidP="00020B79">
      <w:pPr>
        <w:pStyle w:val="BodyText"/>
      </w:pPr>
      <w:r w:rsidRPr="0043355C">
        <w:t>(Refer AS 1597.1 Clause 2.8.1)</w:t>
      </w:r>
    </w:p>
    <w:p w14:paraId="161A019A" w14:textId="77777777" w:rsidR="006364DC" w:rsidRPr="00F6785D" w:rsidRDefault="006364DC" w:rsidP="00F6785D">
      <w:pPr>
        <w:pStyle w:val="Bodynumbered1"/>
      </w:pPr>
      <w:r w:rsidRPr="00F6785D">
        <w:t xml:space="preserve">The actual internal </w:t>
      </w:r>
      <w:proofErr w:type="gramStart"/>
      <w:r w:rsidRPr="00F6785D">
        <w:t>cross sectional</w:t>
      </w:r>
      <w:proofErr w:type="gramEnd"/>
      <w:r w:rsidRPr="00F6785D">
        <w:t xml:space="preserve"> area must not be less than 95% of that specified by the nominal internal dimensions specified on the drawings.</w:t>
      </w:r>
    </w:p>
    <w:p w14:paraId="7EBC29BD" w14:textId="658FD8EB" w:rsidR="006364DC" w:rsidRPr="00F6785D" w:rsidRDefault="006364DC" w:rsidP="00F6785D">
      <w:pPr>
        <w:pStyle w:val="Bodynumbered1"/>
      </w:pPr>
      <w:r w:rsidRPr="00F6785D">
        <w:t>The internal corners of the culverts must be finished with curved or straight fillets.</w:t>
      </w:r>
      <w:r w:rsidR="00E65F89">
        <w:t xml:space="preserve"> </w:t>
      </w:r>
      <w:r w:rsidRPr="00F6785D">
        <w:t>The fillets must not reduce the waterway area by more than the amount specified in the previous clause.</w:t>
      </w:r>
    </w:p>
    <w:p w14:paraId="6A472056" w14:textId="77777777" w:rsidR="00020B79" w:rsidRDefault="006364DC" w:rsidP="00F6785D">
      <w:pPr>
        <w:pStyle w:val="Heading2"/>
      </w:pPr>
      <w:bookmarkStart w:id="71" w:name="_Toc42767697"/>
      <w:r w:rsidRPr="0043355C">
        <w:t>Tolerances</w:t>
      </w:r>
      <w:bookmarkEnd w:id="71"/>
      <w:r w:rsidRPr="0043355C">
        <w:t xml:space="preserve"> </w:t>
      </w:r>
    </w:p>
    <w:p w14:paraId="139A2BBA" w14:textId="09F07F0F" w:rsidR="006364DC" w:rsidRPr="0043355C" w:rsidRDefault="006364DC" w:rsidP="00020B79">
      <w:pPr>
        <w:pStyle w:val="BodyText"/>
      </w:pPr>
      <w:r w:rsidRPr="0043355C">
        <w:t>(Refer AS 1597.1 Clause 2.10)</w:t>
      </w:r>
    </w:p>
    <w:p w14:paraId="1C8C3FFC" w14:textId="1CC64EE2" w:rsidR="006364DC" w:rsidRDefault="006364DC" w:rsidP="00F6785D">
      <w:pPr>
        <w:pStyle w:val="Bodynumbered1"/>
      </w:pPr>
      <w:bookmarkStart w:id="72" w:name="_Hlk2492024"/>
      <w:bookmarkStart w:id="73" w:name="_Ref35434268"/>
      <w:r w:rsidRPr="00F6785D">
        <w:t>End squareness must be measured on each end face across the unit section thickness. Verticality must be measured on each end and side face.</w:t>
      </w:r>
      <w:bookmarkEnd w:id="72"/>
      <w:r w:rsidRPr="00F6785D">
        <w:t xml:space="preserve"> The tolerances in Table </w:t>
      </w:r>
      <w:r w:rsidRPr="00F6785D">
        <w:fldChar w:fldCharType="begin"/>
      </w:r>
      <w:r w:rsidRPr="00F6785D">
        <w:instrText xml:space="preserve"> REF _Ref35434268 \r \h  \* MERGEFORMAT </w:instrText>
      </w:r>
      <w:r w:rsidRPr="00F6785D">
        <w:fldChar w:fldCharType="separate"/>
      </w:r>
      <w:r w:rsidRPr="00F6785D">
        <w:t>6.47</w:t>
      </w:r>
      <w:r w:rsidRPr="00F6785D">
        <w:fldChar w:fldCharType="end"/>
      </w:r>
      <w:r w:rsidRPr="00F6785D">
        <w:t xml:space="preserve"> apply in addition to those listed in AS 1597.1 Table 2.7</w:t>
      </w:r>
      <w:bookmarkEnd w:id="73"/>
      <w:r w:rsidRPr="00F6785D">
        <w:t>.</w:t>
      </w:r>
    </w:p>
    <w:p w14:paraId="7ECCECF8" w14:textId="16ABE121" w:rsidR="00CB02D0" w:rsidRPr="00F6785D" w:rsidRDefault="00CB02D0" w:rsidP="00CB02D0">
      <w:pPr>
        <w:pStyle w:val="Caption"/>
      </w:pPr>
      <w:r w:rsidRPr="00F6785D">
        <w:t xml:space="preserve">Table </w:t>
      </w:r>
      <w:r w:rsidRPr="00F6785D">
        <w:fldChar w:fldCharType="begin"/>
      </w:r>
      <w:r w:rsidRPr="00F6785D">
        <w:instrText xml:space="preserve"> REF _Ref35434268 \r \h  \* MERGEFORMAT </w:instrText>
      </w:r>
      <w:r w:rsidRPr="00F6785D">
        <w:fldChar w:fldCharType="separate"/>
      </w:r>
      <w:r w:rsidRPr="00F6785D">
        <w:t>6.47</w:t>
      </w:r>
      <w:r w:rsidRPr="00F6785D">
        <w:fldChar w:fldCharType="end"/>
      </w:r>
      <w:r>
        <w:t>:</w:t>
      </w:r>
      <w:r w:rsidRPr="00F6785D">
        <w:t xml:space="preserve"> Additional </w:t>
      </w:r>
      <w:r>
        <w:t>t</w:t>
      </w:r>
      <w:r w:rsidRPr="00F6785D">
        <w:t>olerances</w:t>
      </w:r>
    </w:p>
    <w:tbl>
      <w:tblPr>
        <w:tblStyle w:val="TableGrid"/>
        <w:tblW w:w="0" w:type="auto"/>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3119"/>
        <w:gridCol w:w="5670"/>
      </w:tblGrid>
      <w:tr w:rsidR="006364DC" w:rsidRPr="0043355C" w14:paraId="6A617673" w14:textId="77777777" w:rsidTr="00CB02D0">
        <w:tc>
          <w:tcPr>
            <w:tcW w:w="3119" w:type="dxa"/>
            <w:tcBorders>
              <w:bottom w:val="single" w:sz="4" w:space="0" w:color="FFFFFF" w:themeColor="background1"/>
            </w:tcBorders>
            <w:shd w:val="clear" w:color="auto" w:fill="BFBFBF" w:themeFill="background1" w:themeFillShade="BF"/>
          </w:tcPr>
          <w:p w14:paraId="2159DB8D" w14:textId="77777777" w:rsidR="006364DC" w:rsidRPr="00F6785D" w:rsidRDefault="006364DC" w:rsidP="00F6785D">
            <w:pPr>
              <w:pStyle w:val="TableHeading"/>
              <w:rPr>
                <w:b w:val="0"/>
                <w:bCs/>
                <w:color w:val="000000" w:themeColor="text1"/>
              </w:rPr>
            </w:pPr>
            <w:r w:rsidRPr="00F6785D">
              <w:rPr>
                <w:bCs/>
                <w:color w:val="000000" w:themeColor="text1"/>
              </w:rPr>
              <w:t>Measurement</w:t>
            </w:r>
          </w:p>
        </w:tc>
        <w:tc>
          <w:tcPr>
            <w:tcW w:w="5670" w:type="dxa"/>
            <w:tcBorders>
              <w:bottom w:val="single" w:sz="4" w:space="0" w:color="FFFFFF" w:themeColor="background1"/>
            </w:tcBorders>
            <w:shd w:val="clear" w:color="auto" w:fill="BFBFBF" w:themeFill="background1" w:themeFillShade="BF"/>
          </w:tcPr>
          <w:p w14:paraId="0F487948" w14:textId="77777777" w:rsidR="006364DC" w:rsidRPr="00F6785D" w:rsidRDefault="006364DC" w:rsidP="00F6785D">
            <w:pPr>
              <w:pStyle w:val="TableHeading"/>
              <w:rPr>
                <w:b w:val="0"/>
                <w:bCs/>
                <w:color w:val="000000" w:themeColor="text1"/>
              </w:rPr>
            </w:pPr>
            <w:r w:rsidRPr="00F6785D">
              <w:rPr>
                <w:bCs/>
                <w:color w:val="000000" w:themeColor="text1"/>
              </w:rPr>
              <w:t>Permitted tolerance from design</w:t>
            </w:r>
          </w:p>
        </w:tc>
      </w:tr>
      <w:tr w:rsidR="006364DC" w:rsidRPr="0043355C" w14:paraId="475D031B" w14:textId="77777777" w:rsidTr="00CB02D0">
        <w:tc>
          <w:tcPr>
            <w:tcW w:w="3119" w:type="dxa"/>
            <w:tcBorders>
              <w:bottom w:val="single" w:sz="4" w:space="0" w:color="FFFFFF" w:themeColor="background1"/>
            </w:tcBorders>
            <w:shd w:val="clear" w:color="auto" w:fill="D9D9D9" w:themeFill="background1" w:themeFillShade="D9"/>
          </w:tcPr>
          <w:p w14:paraId="380A1BEE" w14:textId="77777777" w:rsidR="006364DC" w:rsidRPr="0043355C" w:rsidRDefault="006364DC" w:rsidP="006364DC">
            <w:pPr>
              <w:pStyle w:val="TableBodyText"/>
              <w:rPr>
                <w:b/>
                <w:bCs w:val="0"/>
              </w:rPr>
            </w:pPr>
            <w:r w:rsidRPr="0043355C">
              <w:rPr>
                <w:bCs w:val="0"/>
              </w:rPr>
              <w:t>End squareness</w:t>
            </w:r>
          </w:p>
        </w:tc>
        <w:tc>
          <w:tcPr>
            <w:tcW w:w="5670" w:type="dxa"/>
            <w:tcBorders>
              <w:bottom w:val="single" w:sz="4" w:space="0" w:color="FFFFFF" w:themeColor="background1"/>
            </w:tcBorders>
            <w:shd w:val="clear" w:color="auto" w:fill="D9D9D9" w:themeFill="background1" w:themeFillShade="D9"/>
          </w:tcPr>
          <w:p w14:paraId="76DE407D" w14:textId="77777777" w:rsidR="006364DC" w:rsidRPr="0043355C" w:rsidRDefault="006364DC" w:rsidP="006364DC">
            <w:pPr>
              <w:pStyle w:val="TableBodyText"/>
              <w:rPr>
                <w:b/>
                <w:bCs w:val="0"/>
              </w:rPr>
            </w:pPr>
            <w:r w:rsidRPr="0043355C">
              <w:rPr>
                <w:bCs w:val="0"/>
              </w:rPr>
              <w:t>± 4 mm</w:t>
            </w:r>
          </w:p>
        </w:tc>
      </w:tr>
      <w:tr w:rsidR="006364DC" w:rsidRPr="0043355C" w14:paraId="560D8BD5" w14:textId="77777777" w:rsidTr="00CB02D0">
        <w:tc>
          <w:tcPr>
            <w:tcW w:w="3119" w:type="dxa"/>
            <w:tcBorders>
              <w:bottom w:val="single" w:sz="4" w:space="0" w:color="7F7F7F" w:themeColor="text1" w:themeTint="80"/>
            </w:tcBorders>
            <w:shd w:val="clear" w:color="auto" w:fill="D9D9D9" w:themeFill="background1" w:themeFillShade="D9"/>
          </w:tcPr>
          <w:p w14:paraId="564CFAD9" w14:textId="77777777" w:rsidR="006364DC" w:rsidRPr="0043355C" w:rsidRDefault="006364DC" w:rsidP="006364DC">
            <w:pPr>
              <w:pStyle w:val="TableBodyText"/>
              <w:rPr>
                <w:b/>
                <w:bCs w:val="0"/>
              </w:rPr>
            </w:pPr>
            <w:r w:rsidRPr="0043355C">
              <w:rPr>
                <w:bCs w:val="0"/>
              </w:rPr>
              <w:t>Verticality</w:t>
            </w:r>
          </w:p>
        </w:tc>
        <w:tc>
          <w:tcPr>
            <w:tcW w:w="5670" w:type="dxa"/>
            <w:tcBorders>
              <w:bottom w:val="single" w:sz="4" w:space="0" w:color="7F7F7F" w:themeColor="text1" w:themeTint="80"/>
            </w:tcBorders>
            <w:shd w:val="clear" w:color="auto" w:fill="D9D9D9" w:themeFill="background1" w:themeFillShade="D9"/>
          </w:tcPr>
          <w:p w14:paraId="62404114" w14:textId="77777777" w:rsidR="006364DC" w:rsidRPr="0043355C" w:rsidRDefault="006364DC" w:rsidP="006364DC">
            <w:pPr>
              <w:pStyle w:val="TableBodyText"/>
              <w:rPr>
                <w:b/>
                <w:bCs w:val="0"/>
              </w:rPr>
            </w:pPr>
            <w:r w:rsidRPr="0043355C">
              <w:rPr>
                <w:bCs w:val="0"/>
              </w:rPr>
              <w:t>± 20 mm</w:t>
            </w:r>
          </w:p>
        </w:tc>
      </w:tr>
    </w:tbl>
    <w:p w14:paraId="60BA55F9" w14:textId="77777777" w:rsidR="006364DC" w:rsidRPr="0043355C" w:rsidRDefault="006364DC" w:rsidP="001538F3">
      <w:pPr>
        <w:pStyle w:val="Heading2"/>
      </w:pPr>
      <w:bookmarkStart w:id="74" w:name="_Toc42767698"/>
      <w:r w:rsidRPr="0043355C">
        <w:lastRenderedPageBreak/>
        <w:t xml:space="preserve">Storage and Handling </w:t>
      </w:r>
      <w:bookmarkStart w:id="75" w:name="_Hlk5976526"/>
      <w:r w:rsidRPr="0043355C">
        <w:t>(Refer AS 1597.1 Clause 2.11)</w:t>
      </w:r>
      <w:bookmarkEnd w:id="74"/>
      <w:bookmarkEnd w:id="75"/>
    </w:p>
    <w:p w14:paraId="67812B5D" w14:textId="77777777" w:rsidR="006364DC" w:rsidRPr="001538F3" w:rsidRDefault="006364DC" w:rsidP="001538F3">
      <w:pPr>
        <w:pStyle w:val="Bodynumbered1"/>
      </w:pPr>
      <w:bookmarkStart w:id="76" w:name="_Ref6231447"/>
      <w:r w:rsidRPr="001538F3">
        <w:t xml:space="preserve">The manufacturer must a undertake a final visual inspection of the units prior to transport from the cast yard and include evidence of the inspection in the Conformance Report (refer </w:t>
      </w:r>
      <w:bookmarkStart w:id="77" w:name="_Hlk15025973"/>
      <w:r w:rsidRPr="001538F3">
        <w:t>Clause </w:t>
      </w:r>
      <w:r w:rsidRPr="001538F3">
        <w:fldChar w:fldCharType="begin"/>
      </w:r>
      <w:r w:rsidRPr="001538F3">
        <w:instrText xml:space="preserve"> REF _Ref6229601 \r \h  \* MERGEFORMAT </w:instrText>
      </w:r>
      <w:r w:rsidRPr="001538F3">
        <w:fldChar w:fldCharType="separate"/>
      </w:r>
      <w:r w:rsidRPr="001538F3">
        <w:t>8.1</w:t>
      </w:r>
      <w:r w:rsidRPr="001538F3">
        <w:fldChar w:fldCharType="end"/>
      </w:r>
      <w:bookmarkEnd w:id="77"/>
      <w:r w:rsidRPr="001538F3">
        <w:t>).</w:t>
      </w:r>
      <w:bookmarkEnd w:id="76"/>
      <w:r w:rsidRPr="001538F3">
        <w:t xml:space="preserve"> </w:t>
      </w:r>
    </w:p>
    <w:p w14:paraId="61697CEE" w14:textId="77777777" w:rsidR="006364DC" w:rsidRPr="001538F3" w:rsidRDefault="006364DC" w:rsidP="001538F3">
      <w:pPr>
        <w:pStyle w:val="Bodynumbered1"/>
      </w:pPr>
      <w:bookmarkStart w:id="78" w:name="_Hlk6297330"/>
      <w:r w:rsidRPr="001538F3">
        <w:t xml:space="preserve">Culvert Components </w:t>
      </w:r>
      <w:bookmarkEnd w:id="78"/>
      <w:r w:rsidRPr="001538F3">
        <w:t>must be transported and handled in a manner which does not damage the Culvert Components and is in accordance with the NTC Load Restraint Guide.</w:t>
      </w:r>
    </w:p>
    <w:p w14:paraId="26EA90C0" w14:textId="6EACECA7" w:rsidR="006364DC" w:rsidRPr="001538F3" w:rsidRDefault="006364DC" w:rsidP="001538F3">
      <w:pPr>
        <w:pStyle w:val="Bodynumbered1"/>
      </w:pPr>
      <w:r w:rsidRPr="001538F3">
        <w:t>During transportation, Culvert Components must be supported on bearers made of timber or other suitable material. Rubber strips must be placed between units, both laterally and longitudinally.</w:t>
      </w:r>
      <w:r w:rsidR="00E65F89">
        <w:t xml:space="preserve"> </w:t>
      </w:r>
      <w:r w:rsidRPr="001538F3">
        <w:t xml:space="preserve">All tie down straps and chains must have rubber protection strips over </w:t>
      </w:r>
      <w:r w:rsidR="00E65F89">
        <w:t xml:space="preserve">the </w:t>
      </w:r>
      <w:r w:rsidRPr="001538F3">
        <w:t>box culvert edges.</w:t>
      </w:r>
      <w:r w:rsidR="00E65F89">
        <w:t xml:space="preserve"> </w:t>
      </w:r>
    </w:p>
    <w:p w14:paraId="0FBFEADF" w14:textId="77777777" w:rsidR="006364DC" w:rsidRPr="001538F3" w:rsidRDefault="006364DC" w:rsidP="001538F3">
      <w:pPr>
        <w:pStyle w:val="Bodynumbered1"/>
      </w:pPr>
      <w:r w:rsidRPr="001538F3">
        <w:t>Precast base slabs and link slabs must be transported in the as laid position.</w:t>
      </w:r>
    </w:p>
    <w:p w14:paraId="50A22DAD" w14:textId="77777777" w:rsidR="006364DC" w:rsidRPr="001538F3" w:rsidRDefault="006364DC" w:rsidP="001538F3">
      <w:pPr>
        <w:pStyle w:val="Bodynumbered1"/>
      </w:pPr>
      <w:r w:rsidRPr="001538F3">
        <w:t xml:space="preserve">Culvert Components to be stored must be placed on an even surface, </w:t>
      </w:r>
      <w:proofErr w:type="gramStart"/>
      <w:r w:rsidRPr="001538F3">
        <w:t>stacked</w:t>
      </w:r>
      <w:proofErr w:type="gramEnd"/>
      <w:r w:rsidRPr="001538F3">
        <w:t xml:space="preserve"> and supported in a manner that will avoid damage. Culvert Components may be stored in more than one layer. Timber or other suitable material which does not damage, mark or stain the culverts must be used as supports between the ground and the Culvert Components and separating each layer. For Culvert Components, the stack height must not be greater than either six metres or six culverts. </w:t>
      </w:r>
    </w:p>
    <w:p w14:paraId="78BF1651" w14:textId="74BBCC07" w:rsidR="006364DC" w:rsidRPr="0043355C" w:rsidRDefault="006364DC" w:rsidP="001538F3">
      <w:pPr>
        <w:pStyle w:val="Bodynumbered1"/>
      </w:pPr>
      <w:r w:rsidRPr="001538F3">
        <w:t xml:space="preserve">Lids or base slabs must be stored in separate stacks of identical units up to a maximum height of six units separated by suitable packers which do not stain, </w:t>
      </w:r>
      <w:proofErr w:type="gramStart"/>
      <w:r w:rsidRPr="001538F3">
        <w:t>damage</w:t>
      </w:r>
      <w:proofErr w:type="gramEnd"/>
      <w:r w:rsidRPr="001538F3">
        <w:t xml:space="preserve"> or mark the culverts in any way. The packers must be placed near the ends of the slab and directly above the supports of any lower layer.</w:t>
      </w:r>
    </w:p>
    <w:p w14:paraId="497C3053" w14:textId="77777777" w:rsidR="00020B79" w:rsidRDefault="006364DC" w:rsidP="001538F3">
      <w:pPr>
        <w:pStyle w:val="Heading2"/>
      </w:pPr>
      <w:bookmarkStart w:id="79" w:name="_Toc42767699"/>
      <w:r w:rsidRPr="0043355C">
        <w:t xml:space="preserve">Provision for </w:t>
      </w:r>
      <w:r w:rsidR="00020B79">
        <w:t>L</w:t>
      </w:r>
      <w:r w:rsidRPr="0043355C">
        <w:t>ifting</w:t>
      </w:r>
      <w:bookmarkEnd w:id="79"/>
      <w:r w:rsidRPr="0043355C">
        <w:t xml:space="preserve"> </w:t>
      </w:r>
    </w:p>
    <w:p w14:paraId="55C824C6" w14:textId="71F119EB" w:rsidR="006364DC" w:rsidRPr="0043355C" w:rsidRDefault="006364DC" w:rsidP="00020B79">
      <w:pPr>
        <w:pStyle w:val="BodyText"/>
      </w:pPr>
      <w:r w:rsidRPr="0043355C">
        <w:t>(Refer AS 1597.1 Clause 2.11.2)</w:t>
      </w:r>
    </w:p>
    <w:p w14:paraId="7A37A9CD" w14:textId="77777777" w:rsidR="006364DC" w:rsidRPr="001538F3" w:rsidRDefault="006364DC" w:rsidP="001538F3">
      <w:pPr>
        <w:pStyle w:val="Bodynumbered1"/>
      </w:pPr>
      <w:bookmarkStart w:id="80" w:name="_Ref35433391"/>
      <w:r w:rsidRPr="001538F3">
        <w:t>The design of the lifting mechanism must comply with the following:</w:t>
      </w:r>
      <w:bookmarkEnd w:id="80"/>
    </w:p>
    <w:p w14:paraId="447A1090" w14:textId="58F0953F" w:rsidR="006364DC" w:rsidRPr="0043355C" w:rsidRDefault="006364DC" w:rsidP="007D4887">
      <w:pPr>
        <w:pStyle w:val="Bodynumbered2"/>
        <w:numPr>
          <w:ilvl w:val="0"/>
          <w:numId w:val="29"/>
        </w:numPr>
        <w:ind w:left="924" w:hanging="357"/>
      </w:pPr>
      <w:r w:rsidRPr="0043355C">
        <w:t>Lifting anchors must fail in a ductile manner as evidenced by visible distortion prior to failure.</w:t>
      </w:r>
    </w:p>
    <w:p w14:paraId="306B7741" w14:textId="612C869F" w:rsidR="00F6785D" w:rsidRPr="0043355C" w:rsidRDefault="006364DC" w:rsidP="007D4887">
      <w:pPr>
        <w:pStyle w:val="Bodynumbered2"/>
        <w:numPr>
          <w:ilvl w:val="0"/>
          <w:numId w:val="29"/>
        </w:numPr>
        <w:ind w:left="924" w:hanging="357"/>
      </w:pPr>
      <w:r w:rsidRPr="0043355C">
        <w:t>The minimum factor of safety for the design of the lifting points for both lifting anchor and concrete pull out capacity must be 4.0.</w:t>
      </w:r>
    </w:p>
    <w:p w14:paraId="648F2FD7" w14:textId="2D8CF433" w:rsidR="006364DC" w:rsidRDefault="006364DC" w:rsidP="007D4887">
      <w:pPr>
        <w:pStyle w:val="Bodynumbered2"/>
        <w:numPr>
          <w:ilvl w:val="0"/>
          <w:numId w:val="29"/>
        </w:numPr>
        <w:ind w:left="924" w:hanging="357"/>
      </w:pPr>
      <w:r w:rsidRPr="0043355C">
        <w:t xml:space="preserve">The minimum allowance for dynamic effects must comply with Table </w:t>
      </w:r>
      <w:r w:rsidRPr="0043355C">
        <w:fldChar w:fldCharType="begin"/>
      </w:r>
      <w:r w:rsidRPr="0043355C">
        <w:instrText xml:space="preserve"> REF _Ref35433391 \r \h  \* MERGEFORMAT </w:instrText>
      </w:r>
      <w:r w:rsidRPr="0043355C">
        <w:fldChar w:fldCharType="separate"/>
      </w:r>
      <w:r>
        <w:t>6.54</w:t>
      </w:r>
      <w:r w:rsidRPr="0043355C">
        <w:fldChar w:fldCharType="end"/>
      </w:r>
      <w:r w:rsidRPr="0043355C">
        <w:t>:</w:t>
      </w:r>
    </w:p>
    <w:p w14:paraId="138119AD" w14:textId="5AC2D0D2" w:rsidR="00CB02D0" w:rsidRDefault="00CB02D0" w:rsidP="00CB02D0">
      <w:pPr>
        <w:pStyle w:val="Caption"/>
      </w:pPr>
      <w:r w:rsidRPr="001538F3">
        <w:t xml:space="preserve">Table </w:t>
      </w:r>
      <w:r w:rsidRPr="001538F3">
        <w:fldChar w:fldCharType="begin"/>
      </w:r>
      <w:r w:rsidRPr="001538F3">
        <w:instrText xml:space="preserve"> REF _Ref35433391 \r \h  \* MERGEFORMAT </w:instrText>
      </w:r>
      <w:r w:rsidRPr="001538F3">
        <w:fldChar w:fldCharType="separate"/>
      </w:r>
      <w:r w:rsidRPr="001538F3">
        <w:t>6.54</w:t>
      </w:r>
      <w:r w:rsidRPr="001538F3">
        <w:fldChar w:fldCharType="end"/>
      </w:r>
      <w:r>
        <w:t>:</w:t>
      </w:r>
      <w:r w:rsidRPr="001538F3">
        <w:t xml:space="preserve"> Dynamic </w:t>
      </w:r>
      <w:r>
        <w:t>e</w:t>
      </w:r>
      <w:r w:rsidRPr="001538F3">
        <w:t>ffects</w:t>
      </w:r>
    </w:p>
    <w:tbl>
      <w:tblPr>
        <w:tblStyle w:val="TableGrid"/>
        <w:tblW w:w="0" w:type="auto"/>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5812"/>
        <w:gridCol w:w="3119"/>
      </w:tblGrid>
      <w:tr w:rsidR="006364DC" w:rsidRPr="0043355C" w14:paraId="62E5CA0D" w14:textId="77777777" w:rsidTr="00CB02D0">
        <w:tc>
          <w:tcPr>
            <w:tcW w:w="5812" w:type="dxa"/>
            <w:shd w:val="clear" w:color="auto" w:fill="BFBFBF" w:themeFill="background1" w:themeFillShade="BF"/>
            <w:vAlign w:val="center"/>
          </w:tcPr>
          <w:p w14:paraId="0AE2BD8B" w14:textId="77777777" w:rsidR="006364DC" w:rsidRPr="001538F3" w:rsidRDefault="006364DC" w:rsidP="00CB02D0">
            <w:pPr>
              <w:pStyle w:val="TableHeading"/>
              <w:rPr>
                <w:b w:val="0"/>
                <w:bCs/>
                <w:color w:val="000000" w:themeColor="text1"/>
              </w:rPr>
            </w:pPr>
            <w:r w:rsidRPr="001538F3">
              <w:rPr>
                <w:bCs/>
                <w:color w:val="000000" w:themeColor="text1"/>
              </w:rPr>
              <w:t>Situation</w:t>
            </w:r>
          </w:p>
        </w:tc>
        <w:tc>
          <w:tcPr>
            <w:tcW w:w="3119" w:type="dxa"/>
            <w:shd w:val="clear" w:color="auto" w:fill="BFBFBF" w:themeFill="background1" w:themeFillShade="BF"/>
            <w:vAlign w:val="center"/>
          </w:tcPr>
          <w:p w14:paraId="378E231C" w14:textId="22964C62" w:rsidR="006364DC" w:rsidRPr="001538F3" w:rsidRDefault="006364DC" w:rsidP="00CB02D0">
            <w:pPr>
              <w:pStyle w:val="TableHeading"/>
              <w:jc w:val="center"/>
              <w:rPr>
                <w:b w:val="0"/>
                <w:bCs/>
                <w:color w:val="000000" w:themeColor="text1"/>
              </w:rPr>
            </w:pPr>
            <w:r w:rsidRPr="001538F3">
              <w:rPr>
                <w:bCs/>
                <w:color w:val="000000" w:themeColor="text1"/>
              </w:rPr>
              <w:t xml:space="preserve">Allowance for </w:t>
            </w:r>
            <w:r w:rsidR="001A6E99">
              <w:rPr>
                <w:bCs/>
                <w:color w:val="000000" w:themeColor="text1"/>
              </w:rPr>
              <w:t>d</w:t>
            </w:r>
            <w:r w:rsidRPr="001538F3">
              <w:rPr>
                <w:bCs/>
                <w:color w:val="000000" w:themeColor="text1"/>
              </w:rPr>
              <w:t xml:space="preserve">ynamic </w:t>
            </w:r>
            <w:r w:rsidR="001A6E99">
              <w:rPr>
                <w:bCs/>
                <w:color w:val="000000" w:themeColor="text1"/>
              </w:rPr>
              <w:t>e</w:t>
            </w:r>
            <w:r w:rsidRPr="001538F3">
              <w:rPr>
                <w:bCs/>
                <w:color w:val="000000" w:themeColor="text1"/>
              </w:rPr>
              <w:t>ffects</w:t>
            </w:r>
          </w:p>
        </w:tc>
      </w:tr>
      <w:tr w:rsidR="006364DC" w:rsidRPr="0043355C" w14:paraId="5A82D5B8" w14:textId="77777777" w:rsidTr="00CB02D0">
        <w:tc>
          <w:tcPr>
            <w:tcW w:w="5812" w:type="dxa"/>
            <w:shd w:val="clear" w:color="auto" w:fill="D9D9D9" w:themeFill="background1" w:themeFillShade="D9"/>
            <w:vAlign w:val="center"/>
          </w:tcPr>
          <w:p w14:paraId="24854F9B" w14:textId="77777777" w:rsidR="006364DC" w:rsidRPr="001538F3" w:rsidRDefault="006364DC" w:rsidP="00CB02D0">
            <w:pPr>
              <w:pStyle w:val="TableBodyText"/>
            </w:pPr>
            <w:r w:rsidRPr="001538F3">
              <w:t>Gantry crane on steel rails (in precast yard)</w:t>
            </w:r>
          </w:p>
        </w:tc>
        <w:tc>
          <w:tcPr>
            <w:tcW w:w="3119" w:type="dxa"/>
            <w:shd w:val="clear" w:color="auto" w:fill="D9D9D9" w:themeFill="background1" w:themeFillShade="D9"/>
            <w:vAlign w:val="center"/>
          </w:tcPr>
          <w:p w14:paraId="294BC2F4" w14:textId="77777777" w:rsidR="006364DC" w:rsidRPr="001538F3" w:rsidRDefault="006364DC" w:rsidP="00CB02D0">
            <w:pPr>
              <w:pStyle w:val="TableBodyText"/>
              <w:jc w:val="center"/>
            </w:pPr>
            <w:r w:rsidRPr="001538F3">
              <w:t>1.2</w:t>
            </w:r>
          </w:p>
        </w:tc>
      </w:tr>
      <w:tr w:rsidR="006364DC" w:rsidRPr="0043355C" w14:paraId="68E3120E" w14:textId="77777777" w:rsidTr="00CB02D0">
        <w:tc>
          <w:tcPr>
            <w:tcW w:w="5812" w:type="dxa"/>
            <w:shd w:val="clear" w:color="auto" w:fill="D9D9D9" w:themeFill="background1" w:themeFillShade="D9"/>
            <w:vAlign w:val="center"/>
          </w:tcPr>
          <w:p w14:paraId="684DCDD5" w14:textId="77777777" w:rsidR="006364DC" w:rsidRPr="001538F3" w:rsidRDefault="006364DC" w:rsidP="00CB02D0">
            <w:pPr>
              <w:pStyle w:val="TableBodyText"/>
            </w:pPr>
            <w:r w:rsidRPr="001538F3">
              <w:t>Stationary hydraulic crane standing on outriggers</w:t>
            </w:r>
          </w:p>
        </w:tc>
        <w:tc>
          <w:tcPr>
            <w:tcW w:w="3119" w:type="dxa"/>
            <w:shd w:val="clear" w:color="auto" w:fill="D9D9D9" w:themeFill="background1" w:themeFillShade="D9"/>
            <w:vAlign w:val="center"/>
          </w:tcPr>
          <w:p w14:paraId="0BDE43FE" w14:textId="77777777" w:rsidR="006364DC" w:rsidRPr="001538F3" w:rsidRDefault="006364DC" w:rsidP="00CB02D0">
            <w:pPr>
              <w:pStyle w:val="TableBodyText"/>
              <w:jc w:val="center"/>
            </w:pPr>
            <w:r w:rsidRPr="001538F3">
              <w:t>1.2</w:t>
            </w:r>
          </w:p>
        </w:tc>
      </w:tr>
      <w:tr w:rsidR="006364DC" w:rsidRPr="0043355C" w14:paraId="5D2E69D4" w14:textId="77777777" w:rsidTr="00CB02D0">
        <w:tc>
          <w:tcPr>
            <w:tcW w:w="5812" w:type="dxa"/>
            <w:shd w:val="clear" w:color="auto" w:fill="D9D9D9" w:themeFill="background1" w:themeFillShade="D9"/>
            <w:vAlign w:val="center"/>
          </w:tcPr>
          <w:p w14:paraId="6A38986C" w14:textId="77777777" w:rsidR="006364DC" w:rsidRPr="001538F3" w:rsidRDefault="006364DC" w:rsidP="00CB02D0">
            <w:pPr>
              <w:pStyle w:val="TableBodyText"/>
            </w:pPr>
            <w:r w:rsidRPr="001538F3">
              <w:t>Tracked mobile lifting equipment travelling with the suspended load on a prepared even surface</w:t>
            </w:r>
          </w:p>
        </w:tc>
        <w:tc>
          <w:tcPr>
            <w:tcW w:w="3119" w:type="dxa"/>
            <w:shd w:val="clear" w:color="auto" w:fill="D9D9D9" w:themeFill="background1" w:themeFillShade="D9"/>
            <w:vAlign w:val="center"/>
          </w:tcPr>
          <w:p w14:paraId="183C524F" w14:textId="77777777" w:rsidR="006364DC" w:rsidRPr="001538F3" w:rsidRDefault="006364DC" w:rsidP="00CB02D0">
            <w:pPr>
              <w:pStyle w:val="TableBodyText"/>
              <w:jc w:val="center"/>
            </w:pPr>
            <w:r w:rsidRPr="001538F3">
              <w:t>1.7</w:t>
            </w:r>
          </w:p>
        </w:tc>
      </w:tr>
      <w:tr w:rsidR="006364DC" w:rsidRPr="0043355C" w14:paraId="10159315" w14:textId="77777777" w:rsidTr="00CB02D0">
        <w:tc>
          <w:tcPr>
            <w:tcW w:w="5812" w:type="dxa"/>
            <w:shd w:val="clear" w:color="auto" w:fill="D9D9D9" w:themeFill="background1" w:themeFillShade="D9"/>
            <w:vAlign w:val="center"/>
          </w:tcPr>
          <w:p w14:paraId="589ECEA5" w14:textId="77777777" w:rsidR="006364DC" w:rsidRPr="001538F3" w:rsidRDefault="006364DC" w:rsidP="00CB02D0">
            <w:pPr>
              <w:pStyle w:val="TableBodyText"/>
            </w:pPr>
            <w:r w:rsidRPr="001538F3">
              <w:t>Non-tracked mobile lifting equipment (including rubber tyred) travelling with the suspended load on a prepared even surface</w:t>
            </w:r>
          </w:p>
        </w:tc>
        <w:tc>
          <w:tcPr>
            <w:tcW w:w="3119" w:type="dxa"/>
            <w:shd w:val="clear" w:color="auto" w:fill="D9D9D9" w:themeFill="background1" w:themeFillShade="D9"/>
            <w:vAlign w:val="center"/>
          </w:tcPr>
          <w:p w14:paraId="5F6A679B" w14:textId="77777777" w:rsidR="006364DC" w:rsidRPr="001538F3" w:rsidRDefault="006364DC" w:rsidP="00CB02D0">
            <w:pPr>
              <w:pStyle w:val="TableBodyText"/>
              <w:jc w:val="center"/>
            </w:pPr>
            <w:r w:rsidRPr="001538F3">
              <w:t>2</w:t>
            </w:r>
          </w:p>
        </w:tc>
      </w:tr>
      <w:tr w:rsidR="006364DC" w:rsidRPr="0043355C" w14:paraId="738BBD46" w14:textId="77777777" w:rsidTr="00CB02D0">
        <w:tc>
          <w:tcPr>
            <w:tcW w:w="5812" w:type="dxa"/>
            <w:tcBorders>
              <w:bottom w:val="single" w:sz="4" w:space="0" w:color="FFFFFF" w:themeColor="background1"/>
            </w:tcBorders>
            <w:shd w:val="clear" w:color="auto" w:fill="D9D9D9" w:themeFill="background1" w:themeFillShade="D9"/>
            <w:vAlign w:val="center"/>
          </w:tcPr>
          <w:p w14:paraId="26B84414" w14:textId="77777777" w:rsidR="006364DC" w:rsidRPr="001538F3" w:rsidRDefault="006364DC" w:rsidP="00CB02D0">
            <w:pPr>
              <w:pStyle w:val="TableBodyText"/>
            </w:pPr>
            <w:r w:rsidRPr="001538F3">
              <w:t>All mobile equipment travelling with the load suspended on unprepared uneven surfaces</w:t>
            </w:r>
          </w:p>
        </w:tc>
        <w:tc>
          <w:tcPr>
            <w:tcW w:w="3119" w:type="dxa"/>
            <w:tcBorders>
              <w:bottom w:val="single" w:sz="4" w:space="0" w:color="FFFFFF" w:themeColor="background1"/>
            </w:tcBorders>
            <w:shd w:val="clear" w:color="auto" w:fill="D9D9D9" w:themeFill="background1" w:themeFillShade="D9"/>
            <w:vAlign w:val="center"/>
          </w:tcPr>
          <w:p w14:paraId="061876A1" w14:textId="77777777" w:rsidR="006364DC" w:rsidRPr="001538F3" w:rsidRDefault="006364DC" w:rsidP="00CB02D0">
            <w:pPr>
              <w:pStyle w:val="TableBodyText"/>
              <w:jc w:val="center"/>
            </w:pPr>
            <w:r w:rsidRPr="001538F3">
              <w:t>5</w:t>
            </w:r>
          </w:p>
        </w:tc>
      </w:tr>
      <w:tr w:rsidR="006364DC" w:rsidRPr="0043355C" w14:paraId="6F8BDBE9" w14:textId="77777777" w:rsidTr="00CB02D0">
        <w:tc>
          <w:tcPr>
            <w:tcW w:w="5812" w:type="dxa"/>
            <w:tcBorders>
              <w:bottom w:val="single" w:sz="4" w:space="0" w:color="7F7F7F" w:themeColor="text1" w:themeTint="80"/>
            </w:tcBorders>
            <w:shd w:val="clear" w:color="auto" w:fill="D9D9D9" w:themeFill="background1" w:themeFillShade="D9"/>
            <w:vAlign w:val="center"/>
          </w:tcPr>
          <w:p w14:paraId="52E92EE0" w14:textId="77777777" w:rsidR="006364DC" w:rsidRPr="001538F3" w:rsidRDefault="006364DC" w:rsidP="00CB02D0">
            <w:pPr>
              <w:pStyle w:val="TableBodyText"/>
            </w:pPr>
            <w:r w:rsidRPr="001538F3">
              <w:t xml:space="preserve">Any other case not listed above </w:t>
            </w:r>
          </w:p>
        </w:tc>
        <w:tc>
          <w:tcPr>
            <w:tcW w:w="3119" w:type="dxa"/>
            <w:tcBorders>
              <w:bottom w:val="single" w:sz="4" w:space="0" w:color="7F7F7F" w:themeColor="text1" w:themeTint="80"/>
            </w:tcBorders>
            <w:shd w:val="clear" w:color="auto" w:fill="D9D9D9" w:themeFill="background1" w:themeFillShade="D9"/>
            <w:vAlign w:val="center"/>
          </w:tcPr>
          <w:p w14:paraId="56B8185F" w14:textId="77777777" w:rsidR="006364DC" w:rsidRPr="001538F3" w:rsidRDefault="006364DC" w:rsidP="00CB02D0">
            <w:pPr>
              <w:pStyle w:val="TableBodyText"/>
              <w:jc w:val="center"/>
            </w:pPr>
            <w:r w:rsidRPr="001538F3">
              <w:t>not less than1.5</w:t>
            </w:r>
          </w:p>
        </w:tc>
      </w:tr>
    </w:tbl>
    <w:p w14:paraId="63806CF5" w14:textId="77777777" w:rsidR="006364DC" w:rsidRPr="001538F3" w:rsidRDefault="006364DC" w:rsidP="001538F3">
      <w:pPr>
        <w:pStyle w:val="Bodynumbered1"/>
      </w:pPr>
      <w:bookmarkStart w:id="81" w:name="_Ref6305839"/>
      <w:r w:rsidRPr="001538F3">
        <w:t xml:space="preserve">The number of lifting points and the location of these points must be designed to provide stability at all stages of lifting, </w:t>
      </w:r>
      <w:proofErr w:type="gramStart"/>
      <w:r w:rsidRPr="001538F3">
        <w:t>handling</w:t>
      </w:r>
      <w:proofErr w:type="gramEnd"/>
      <w:r w:rsidRPr="001538F3">
        <w:t xml:space="preserve"> and installation, including the requirement to place the product at the required level during installation.</w:t>
      </w:r>
    </w:p>
    <w:p w14:paraId="50E0E1D2" w14:textId="77777777" w:rsidR="006364DC" w:rsidRPr="001538F3" w:rsidRDefault="006364DC" w:rsidP="001538F3">
      <w:pPr>
        <w:pStyle w:val="Bodynumbered1"/>
      </w:pPr>
      <w:proofErr w:type="gramStart"/>
      <w:r w:rsidRPr="001538F3">
        <w:t>With the exception of</w:t>
      </w:r>
      <w:proofErr w:type="gramEnd"/>
      <w:r w:rsidRPr="001538F3">
        <w:t xml:space="preserve"> small box Culvert Components with a mass less than 500 kg, a minimum of four lifting points must be provided, and no product must be lifted with less than two points.</w:t>
      </w:r>
    </w:p>
    <w:p w14:paraId="5E4427EE" w14:textId="2B898AFC" w:rsidR="006364DC" w:rsidRPr="001538F3" w:rsidRDefault="006364DC" w:rsidP="001538F3">
      <w:pPr>
        <w:pStyle w:val="Bodynumbered1"/>
      </w:pPr>
      <w:r w:rsidRPr="001538F3">
        <w:lastRenderedPageBreak/>
        <w:t>The Contractor must ensure that the Professional Engineer who designed the lifting mechanism certifies that the lifting points and/or rigging diagram comply with this Specification</w:t>
      </w:r>
      <w:bookmarkEnd w:id="81"/>
      <w:r w:rsidRPr="001538F3">
        <w:t xml:space="preserve">. The certification must be included in the Conformance Report (refer Clause </w:t>
      </w:r>
      <w:r w:rsidRPr="001538F3">
        <w:fldChar w:fldCharType="begin"/>
      </w:r>
      <w:r w:rsidRPr="001538F3">
        <w:instrText xml:space="preserve"> REF _Ref6229601 \r \h  \* MERGEFORMAT </w:instrText>
      </w:r>
      <w:r w:rsidRPr="001538F3">
        <w:fldChar w:fldCharType="separate"/>
      </w:r>
      <w:r w:rsidRPr="001538F3">
        <w:t>8.1</w:t>
      </w:r>
      <w:r w:rsidRPr="001538F3">
        <w:fldChar w:fldCharType="end"/>
      </w:r>
      <w:r w:rsidRPr="001538F3">
        <w:t>).</w:t>
      </w:r>
    </w:p>
    <w:p w14:paraId="77BCABDA" w14:textId="2BE35639" w:rsidR="006364DC" w:rsidRPr="001538F3" w:rsidRDefault="006364DC" w:rsidP="001538F3">
      <w:pPr>
        <w:pStyle w:val="Bodynumbered1"/>
      </w:pPr>
      <w:r w:rsidRPr="001538F3">
        <w:t>Culvert Components must be lifted using the lifting points provided, as shown on the drawings and/or rigging diagram.</w:t>
      </w:r>
    </w:p>
    <w:p w14:paraId="1C19B499" w14:textId="77777777" w:rsidR="006364DC" w:rsidRPr="001538F3" w:rsidRDefault="006364DC" w:rsidP="001538F3">
      <w:pPr>
        <w:pStyle w:val="Bodynumbered1"/>
      </w:pPr>
      <w:r w:rsidRPr="001538F3">
        <w:t>If holes are provided instead of cast</w:t>
      </w:r>
      <w:r w:rsidRPr="001538F3">
        <w:noBreakHyphen/>
        <w:t>in lifting anchors, the manufacturer must supply tight</w:t>
      </w:r>
      <w:r w:rsidRPr="001538F3">
        <w:noBreakHyphen/>
        <w:t>fitting concrete or plastic plugs with each consignment to seal the holes. Alternatively, the holes can be filled with a cementitious repair grout.</w:t>
      </w:r>
    </w:p>
    <w:p w14:paraId="2132025D" w14:textId="7AFD072B" w:rsidR="006364DC" w:rsidRPr="001538F3" w:rsidRDefault="006364DC" w:rsidP="001538F3">
      <w:pPr>
        <w:pStyle w:val="Bodynumbered1"/>
      </w:pPr>
      <w:r w:rsidRPr="001538F3">
        <w:t>Cover to reinforcement at the lifting anchor recess must be maintained in accordance with this Specification.</w:t>
      </w:r>
      <w:r w:rsidR="00E65F89">
        <w:t xml:space="preserve"> </w:t>
      </w:r>
      <w:r w:rsidRPr="001538F3">
        <w:t>Cover to the lifting anchor is not required if any recess is filled with a cementitious repair grout.</w:t>
      </w:r>
    </w:p>
    <w:p w14:paraId="169166C8" w14:textId="77777777" w:rsidR="006364DC" w:rsidRPr="001538F3" w:rsidRDefault="006364DC" w:rsidP="001538F3">
      <w:pPr>
        <w:pStyle w:val="Bodynumbered1"/>
      </w:pPr>
      <w:r w:rsidRPr="001538F3">
        <w:t>The lifting anchors must be made of:</w:t>
      </w:r>
    </w:p>
    <w:p w14:paraId="6320B496" w14:textId="7D0073F8" w:rsidR="006364DC" w:rsidRPr="0043355C" w:rsidRDefault="006364DC" w:rsidP="00CB02D0">
      <w:pPr>
        <w:pStyle w:val="BodyTextIndent"/>
        <w:spacing w:before="120" w:after="0"/>
        <w:rPr>
          <w:b/>
        </w:rPr>
      </w:pPr>
      <w:r w:rsidRPr="0043355C">
        <w:t xml:space="preserve">Exposure Classification C2: </w:t>
      </w:r>
      <w:r w:rsidRPr="0043355C">
        <w:tab/>
      </w:r>
      <w:r w:rsidR="001538F3">
        <w:tab/>
      </w:r>
      <w:r w:rsidRPr="0043355C">
        <w:t xml:space="preserve">Stainless steel </w:t>
      </w:r>
    </w:p>
    <w:p w14:paraId="78BCC597" w14:textId="328D27DD" w:rsidR="006364DC" w:rsidRPr="0043355C" w:rsidRDefault="006364DC" w:rsidP="00CB02D0">
      <w:pPr>
        <w:pStyle w:val="BodyTextIndent"/>
        <w:spacing w:before="120"/>
        <w:ind w:left="4315" w:hanging="3748"/>
        <w:rPr>
          <w:b/>
        </w:rPr>
      </w:pPr>
      <w:r w:rsidRPr="0043355C">
        <w:t xml:space="preserve">Less severe Exposure Classifications: </w:t>
      </w:r>
      <w:r w:rsidRPr="0043355C">
        <w:tab/>
        <w:t>Hot dip galvanised to AS 4680 or</w:t>
      </w:r>
      <w:r w:rsidR="001538F3">
        <w:t xml:space="preserve"> </w:t>
      </w:r>
      <w:r w:rsidRPr="0043355C">
        <w:t>stainless steel.</w:t>
      </w:r>
    </w:p>
    <w:p w14:paraId="7CF52FA8" w14:textId="77777777" w:rsidR="006364DC" w:rsidRPr="001538F3" w:rsidRDefault="006364DC" w:rsidP="001538F3">
      <w:pPr>
        <w:pStyle w:val="Bodynumbered1"/>
      </w:pPr>
      <w:r w:rsidRPr="001538F3">
        <w:t>All lifting anchors must be permanently marked or tagged by the manufacturer with the working load limit, which must be clearly visible.</w:t>
      </w:r>
    </w:p>
    <w:p w14:paraId="65323F55" w14:textId="77777777" w:rsidR="006364DC" w:rsidRPr="001538F3" w:rsidRDefault="006364DC" w:rsidP="001538F3">
      <w:pPr>
        <w:pStyle w:val="Bodynumbered1"/>
      </w:pPr>
      <w:r w:rsidRPr="001538F3">
        <w:t>Lifting anchors which are damaged must not be used without inspection and certification by a Professional Engineer.</w:t>
      </w:r>
    </w:p>
    <w:p w14:paraId="67F60240" w14:textId="77777777" w:rsidR="00020B79" w:rsidRDefault="006364DC" w:rsidP="001538F3">
      <w:pPr>
        <w:pStyle w:val="Heading2"/>
      </w:pPr>
      <w:bookmarkStart w:id="82" w:name="_Toc42767700"/>
      <w:r w:rsidRPr="0043355C">
        <w:t>Workmanship and Finish</w:t>
      </w:r>
      <w:bookmarkEnd w:id="82"/>
      <w:r w:rsidRPr="0043355C">
        <w:t xml:space="preserve"> </w:t>
      </w:r>
    </w:p>
    <w:p w14:paraId="53B49118" w14:textId="3C56C5FB" w:rsidR="006364DC" w:rsidRPr="00020B79" w:rsidRDefault="006364DC" w:rsidP="00020B79">
      <w:pPr>
        <w:pStyle w:val="BodyText"/>
        <w:rPr>
          <w:rStyle w:val="BodyTextChar"/>
        </w:rPr>
      </w:pPr>
      <w:r w:rsidRPr="0043355C">
        <w:t>(</w:t>
      </w:r>
      <w:r w:rsidRPr="00020B79">
        <w:rPr>
          <w:rStyle w:val="BodyTextChar"/>
        </w:rPr>
        <w:t>Refer AS 1597.1 Clause 2.12)</w:t>
      </w:r>
    </w:p>
    <w:p w14:paraId="512F312A" w14:textId="77777777" w:rsidR="006364DC" w:rsidRPr="001538F3" w:rsidRDefault="006364DC" w:rsidP="001538F3">
      <w:pPr>
        <w:pStyle w:val="Bodynumbered1"/>
      </w:pPr>
      <w:r w:rsidRPr="001538F3">
        <w:t>The surface finish must comply with Class 2 to AS 3610.</w:t>
      </w:r>
    </w:p>
    <w:p w14:paraId="09396E02" w14:textId="77777777" w:rsidR="00020B79" w:rsidRDefault="006364DC" w:rsidP="001538F3">
      <w:pPr>
        <w:pStyle w:val="Heading2"/>
      </w:pPr>
      <w:bookmarkStart w:id="83" w:name="_Toc42767701"/>
      <w:r w:rsidRPr="0043355C">
        <w:t>Defects</w:t>
      </w:r>
      <w:bookmarkEnd w:id="83"/>
      <w:r w:rsidRPr="0043355C">
        <w:t xml:space="preserve"> </w:t>
      </w:r>
    </w:p>
    <w:p w14:paraId="1A7E043B" w14:textId="63C149CF" w:rsidR="006364DC" w:rsidRPr="0043355C" w:rsidRDefault="006364DC" w:rsidP="00020B79">
      <w:pPr>
        <w:pStyle w:val="BodyText"/>
      </w:pPr>
      <w:r w:rsidRPr="0043355C">
        <w:t>(Refer AS 1597.1 Clause 2.12)</w:t>
      </w:r>
    </w:p>
    <w:p w14:paraId="6F751B74" w14:textId="77777777" w:rsidR="006364DC" w:rsidRPr="001538F3" w:rsidRDefault="006364DC" w:rsidP="001538F3">
      <w:pPr>
        <w:pStyle w:val="Bodynumbered1"/>
      </w:pPr>
      <w:bookmarkStart w:id="84" w:name="_Hlk6299912"/>
      <w:r w:rsidRPr="001538F3">
        <w:t>A Culvert Component must not exhibit any of the following defects:</w:t>
      </w:r>
    </w:p>
    <w:p w14:paraId="7AAB310A" w14:textId="73FF84A5" w:rsidR="006364DC" w:rsidRPr="001538F3" w:rsidRDefault="006364DC" w:rsidP="007D4887">
      <w:pPr>
        <w:pStyle w:val="Bodynumbered2"/>
        <w:numPr>
          <w:ilvl w:val="0"/>
          <w:numId w:val="30"/>
        </w:numPr>
        <w:ind w:left="924" w:hanging="357"/>
      </w:pPr>
      <w:r w:rsidRPr="001538F3">
        <w:t>A crack or fissure wider than 0.15</w:t>
      </w:r>
      <w:r w:rsidR="009775B4">
        <w:t xml:space="preserve"> </w:t>
      </w:r>
      <w:r w:rsidRPr="001538F3">
        <w:t>mm.</w:t>
      </w:r>
    </w:p>
    <w:p w14:paraId="14854F3C" w14:textId="2C90A8AD" w:rsidR="006364DC" w:rsidRPr="001538F3" w:rsidRDefault="006364DC" w:rsidP="007D4887">
      <w:pPr>
        <w:pStyle w:val="Bodynumbered2"/>
        <w:numPr>
          <w:ilvl w:val="0"/>
          <w:numId w:val="30"/>
        </w:numPr>
        <w:ind w:left="924" w:hanging="357"/>
      </w:pPr>
      <w:r w:rsidRPr="001538F3">
        <w:t>An individual crack longer than 300</w:t>
      </w:r>
      <w:r w:rsidR="009775B4">
        <w:t xml:space="preserve"> </w:t>
      </w:r>
      <w:r w:rsidRPr="001538F3">
        <w:t>mm.</w:t>
      </w:r>
    </w:p>
    <w:p w14:paraId="593D7B59" w14:textId="44A3BCB4" w:rsidR="006364DC" w:rsidRPr="001538F3" w:rsidRDefault="006364DC" w:rsidP="007D4887">
      <w:pPr>
        <w:pStyle w:val="Bodynumbered2"/>
        <w:numPr>
          <w:ilvl w:val="0"/>
          <w:numId w:val="30"/>
        </w:numPr>
        <w:ind w:left="924" w:hanging="357"/>
      </w:pPr>
      <w:r w:rsidRPr="001538F3">
        <w:t>A cumulative crack length more than 500</w:t>
      </w:r>
      <w:r w:rsidR="009775B4">
        <w:t xml:space="preserve"> </w:t>
      </w:r>
      <w:r w:rsidRPr="001538F3">
        <w:t>mm.</w:t>
      </w:r>
    </w:p>
    <w:p w14:paraId="26B1FB45" w14:textId="77777777" w:rsidR="006364DC" w:rsidRPr="001538F3" w:rsidRDefault="006364DC" w:rsidP="001538F3">
      <w:pPr>
        <w:pStyle w:val="Bodynumbered1"/>
      </w:pPr>
      <w:r w:rsidRPr="001538F3">
        <w:t xml:space="preserve">Dents, bulges, chips and spalls of a depth or height not more than 3 mm in any direction are permitted, provided they do not extend over the surface for a distance greater than twice the wall thickness of the unit and provided that the required cover is maintained. </w:t>
      </w:r>
    </w:p>
    <w:p w14:paraId="15015C29" w14:textId="77777777" w:rsidR="006364DC" w:rsidRPr="001538F3" w:rsidRDefault="006364DC" w:rsidP="001538F3">
      <w:pPr>
        <w:pStyle w:val="Bodynumbered1"/>
      </w:pPr>
      <w:r w:rsidRPr="001538F3">
        <w:t>Crack widths must be measured at the surface and not with the feeler gauge method.</w:t>
      </w:r>
    </w:p>
    <w:p w14:paraId="12CA7E30" w14:textId="77777777" w:rsidR="00020B79" w:rsidRDefault="006364DC" w:rsidP="001538F3">
      <w:pPr>
        <w:pStyle w:val="Heading2"/>
      </w:pPr>
      <w:bookmarkStart w:id="85" w:name="_Toc42767702"/>
      <w:bookmarkStart w:id="86" w:name="_Hlk6299703"/>
      <w:bookmarkEnd w:id="84"/>
      <w:r w:rsidRPr="0043355C">
        <w:t>Finishing and Repairs</w:t>
      </w:r>
      <w:bookmarkEnd w:id="85"/>
      <w:r w:rsidRPr="0043355C">
        <w:t xml:space="preserve"> </w:t>
      </w:r>
      <w:bookmarkStart w:id="87" w:name="_Hlk5976444"/>
    </w:p>
    <w:p w14:paraId="70395F6B" w14:textId="7B3DF41A" w:rsidR="006364DC" w:rsidRPr="0043355C" w:rsidRDefault="006364DC" w:rsidP="00020B79">
      <w:pPr>
        <w:pStyle w:val="BodyText"/>
      </w:pPr>
      <w:r w:rsidRPr="0043355C">
        <w:t>(Refer AS 1597.1 Clause 2.14)</w:t>
      </w:r>
      <w:bookmarkEnd w:id="87"/>
    </w:p>
    <w:p w14:paraId="640E737F" w14:textId="77777777" w:rsidR="006364DC" w:rsidRPr="001538F3" w:rsidRDefault="006364DC" w:rsidP="001538F3">
      <w:pPr>
        <w:pStyle w:val="Bodynumbered1"/>
      </w:pPr>
      <w:r w:rsidRPr="001538F3">
        <w:t>Unless specified otherwise in the Contract documents or approved by the Principal, units must not be coated with cement wash or any other preparation.</w:t>
      </w:r>
    </w:p>
    <w:p w14:paraId="2744A4AE" w14:textId="77777777" w:rsidR="00020B79" w:rsidRDefault="006364DC" w:rsidP="001538F3">
      <w:pPr>
        <w:pStyle w:val="Heading2"/>
      </w:pPr>
      <w:bookmarkStart w:id="88" w:name="_Toc42767703"/>
      <w:bookmarkEnd w:id="86"/>
      <w:r w:rsidRPr="0043355C">
        <w:lastRenderedPageBreak/>
        <w:t>Marking</w:t>
      </w:r>
      <w:bookmarkEnd w:id="88"/>
      <w:r w:rsidRPr="0043355C">
        <w:t xml:space="preserve"> </w:t>
      </w:r>
    </w:p>
    <w:p w14:paraId="1971B112" w14:textId="7D57AAE9" w:rsidR="006364DC" w:rsidRPr="0043355C" w:rsidRDefault="006364DC" w:rsidP="00020B79">
      <w:pPr>
        <w:pStyle w:val="BodyText"/>
      </w:pPr>
      <w:r w:rsidRPr="0043355C">
        <w:t>(Refer AS 1597.1 Clause 2.15)</w:t>
      </w:r>
    </w:p>
    <w:p w14:paraId="39A2C287" w14:textId="77777777" w:rsidR="006364DC" w:rsidRPr="001538F3" w:rsidRDefault="006364DC" w:rsidP="001538F3">
      <w:pPr>
        <w:pStyle w:val="Bodynumbered1"/>
      </w:pPr>
      <w:r w:rsidRPr="001538F3">
        <w:t>In addition to the requirements of AS 1597.1 Clause 2.15, the marking must include “ATS 2230”.</w:t>
      </w:r>
    </w:p>
    <w:p w14:paraId="240381E1" w14:textId="472AD858" w:rsidR="006364DC" w:rsidRDefault="006364DC" w:rsidP="006364DC">
      <w:pPr>
        <w:pStyle w:val="Heading1"/>
      </w:pPr>
      <w:bookmarkStart w:id="89" w:name="_Toc15450996"/>
      <w:bookmarkStart w:id="90" w:name="_Ref36534867"/>
      <w:bookmarkStart w:id="91" w:name="_Toc41035102"/>
      <w:bookmarkStart w:id="92" w:name="_Toc42767704"/>
      <w:r w:rsidRPr="0043355C">
        <w:t>Sampling and Testing</w:t>
      </w:r>
      <w:bookmarkEnd w:id="89"/>
      <w:bookmarkEnd w:id="90"/>
      <w:bookmarkEnd w:id="91"/>
      <w:bookmarkEnd w:id="92"/>
    </w:p>
    <w:p w14:paraId="4C7C704C" w14:textId="77777777" w:rsidR="006364DC" w:rsidRPr="001538F3" w:rsidRDefault="006364DC" w:rsidP="001538F3">
      <w:pPr>
        <w:pStyle w:val="Bodynumbered1"/>
      </w:pPr>
      <w:r w:rsidRPr="001538F3">
        <w:t xml:space="preserve">Further to AS 1597.1, the culverts must be sampled and tested in accordance with the additional requirements set out in this Clause </w:t>
      </w:r>
      <w:r w:rsidRPr="001538F3">
        <w:fldChar w:fldCharType="begin"/>
      </w:r>
      <w:r w:rsidRPr="001538F3">
        <w:instrText xml:space="preserve"> REF _Ref36534867 \r \h  \* MERGEFORMAT </w:instrText>
      </w:r>
      <w:r w:rsidRPr="001538F3">
        <w:fldChar w:fldCharType="separate"/>
      </w:r>
      <w:r w:rsidRPr="001538F3">
        <w:t>7</w:t>
      </w:r>
      <w:r w:rsidRPr="001538F3">
        <w:fldChar w:fldCharType="end"/>
      </w:r>
      <w:r w:rsidRPr="001538F3">
        <w:t>.</w:t>
      </w:r>
    </w:p>
    <w:p w14:paraId="1D4E21EA" w14:textId="77777777" w:rsidR="00020B79" w:rsidRDefault="006364DC" w:rsidP="001538F3">
      <w:pPr>
        <w:pStyle w:val="Heading2"/>
      </w:pPr>
      <w:bookmarkStart w:id="93" w:name="_Toc42767705"/>
      <w:r w:rsidRPr="001538F3">
        <w:t>General</w:t>
      </w:r>
      <w:bookmarkEnd w:id="93"/>
      <w:r w:rsidRPr="001538F3">
        <w:t xml:space="preserve"> </w:t>
      </w:r>
      <w:bookmarkStart w:id="94" w:name="_Hlk6300703"/>
    </w:p>
    <w:p w14:paraId="5CECF324" w14:textId="0F6E80C1" w:rsidR="006364DC" w:rsidRPr="001538F3" w:rsidRDefault="006364DC" w:rsidP="00020B79">
      <w:pPr>
        <w:pStyle w:val="BodyText"/>
        <w:rPr>
          <w:lang w:val="en-AU"/>
        </w:rPr>
      </w:pPr>
      <w:r w:rsidRPr="001538F3">
        <w:t>(Refer AS 1597.1 Clause 3.2)</w:t>
      </w:r>
      <w:bookmarkEnd w:id="94"/>
    </w:p>
    <w:p w14:paraId="09389CA0" w14:textId="77777777" w:rsidR="006364DC" w:rsidRPr="0043355C" w:rsidRDefault="006364DC" w:rsidP="001538F3">
      <w:pPr>
        <w:pStyle w:val="Bodynumbered1"/>
      </w:pPr>
      <w:r w:rsidRPr="0043355C">
        <w:t>Add the following to AS 1597.1 Clause 3.2.2 (a):</w:t>
      </w:r>
    </w:p>
    <w:p w14:paraId="5BDD52DB" w14:textId="4F910468" w:rsidR="006364DC" w:rsidRPr="0043355C" w:rsidRDefault="001538F3" w:rsidP="001538F3">
      <w:pPr>
        <w:pStyle w:val="Bodynumbered2"/>
        <w:numPr>
          <w:ilvl w:val="0"/>
          <w:numId w:val="0"/>
        </w:numPr>
        <w:ind w:left="924" w:hanging="357"/>
        <w:rPr>
          <w:b/>
        </w:rPr>
      </w:pPr>
      <w:r>
        <w:t>a)</w:t>
      </w:r>
      <w:r>
        <w:tab/>
      </w:r>
      <w:r w:rsidR="006364DC" w:rsidRPr="0043355C">
        <w:t>Changes to the maximum nominal aggregate size.</w:t>
      </w:r>
    </w:p>
    <w:p w14:paraId="54C08641" w14:textId="588B26A5" w:rsidR="006364DC" w:rsidRPr="0043355C" w:rsidRDefault="001538F3" w:rsidP="001538F3">
      <w:pPr>
        <w:pStyle w:val="Bodynumbered2"/>
        <w:numPr>
          <w:ilvl w:val="0"/>
          <w:numId w:val="0"/>
        </w:numPr>
        <w:ind w:left="924" w:hanging="357"/>
        <w:rPr>
          <w:b/>
        </w:rPr>
      </w:pPr>
      <w:r>
        <w:t>b)</w:t>
      </w:r>
      <w:r>
        <w:tab/>
      </w:r>
      <w:r w:rsidR="006364DC" w:rsidRPr="0043355C">
        <w:t>Changes to cover to reinforcement</w:t>
      </w:r>
      <w:r w:rsidR="009775B4">
        <w:t>.</w:t>
      </w:r>
    </w:p>
    <w:p w14:paraId="78EB5EA0" w14:textId="04C341F0" w:rsidR="006364DC" w:rsidRPr="001538F3" w:rsidRDefault="006364DC" w:rsidP="001538F3">
      <w:pPr>
        <w:pStyle w:val="Bodynumbered1"/>
      </w:pPr>
      <w:r w:rsidRPr="001538F3">
        <w:t>The testing machine used for load testing must meet the requirements of AS 2193 Class B and must be calibrated by NATA accredited laboratory.</w:t>
      </w:r>
      <w:r w:rsidR="00E65F89">
        <w:t xml:space="preserve"> </w:t>
      </w:r>
      <w:r w:rsidRPr="001538F3">
        <w:t xml:space="preserve">A jack and pressure gauge system may be used </w:t>
      </w:r>
      <w:proofErr w:type="gramStart"/>
      <w:r w:rsidRPr="001538F3">
        <w:t>provided that</w:t>
      </w:r>
      <w:proofErr w:type="gramEnd"/>
      <w:r w:rsidRPr="001538F3">
        <w:t xml:space="preserve"> calibration is carried out at not more than 12 monthly intervals.</w:t>
      </w:r>
    </w:p>
    <w:p w14:paraId="64ADA80B" w14:textId="2A5E9460" w:rsidR="00020B79" w:rsidRDefault="006364DC" w:rsidP="001538F3">
      <w:pPr>
        <w:pStyle w:val="Heading2"/>
      </w:pPr>
      <w:bookmarkStart w:id="95" w:name="_Toc42767706"/>
      <w:r w:rsidRPr="0043355C">
        <w:t xml:space="preserve">Required </w:t>
      </w:r>
      <w:r w:rsidR="009775B4">
        <w:t>T</w:t>
      </w:r>
      <w:r w:rsidRPr="0043355C">
        <w:t>ests</w:t>
      </w:r>
      <w:bookmarkEnd w:id="95"/>
      <w:r w:rsidRPr="0043355C">
        <w:t xml:space="preserve"> </w:t>
      </w:r>
    </w:p>
    <w:p w14:paraId="789A195B" w14:textId="5977D184" w:rsidR="006364DC" w:rsidRPr="0043355C" w:rsidRDefault="006364DC" w:rsidP="00020B79">
      <w:pPr>
        <w:pStyle w:val="BodyText"/>
      </w:pPr>
      <w:r w:rsidRPr="0043355C">
        <w:t>(Refer AS 1597.1 Clause 3.2.3)</w:t>
      </w:r>
    </w:p>
    <w:p w14:paraId="4ACBB45D" w14:textId="77777777" w:rsidR="006364DC" w:rsidRPr="001538F3" w:rsidRDefault="006364DC" w:rsidP="001538F3">
      <w:pPr>
        <w:pStyle w:val="Bodynumbered1"/>
      </w:pPr>
      <w:r w:rsidRPr="001538F3">
        <w:t>Ultimate load testing is required for both routine and type testing.</w:t>
      </w:r>
    </w:p>
    <w:p w14:paraId="03D33AD1" w14:textId="1A607F27" w:rsidR="006364DC" w:rsidRPr="001538F3" w:rsidRDefault="006364DC" w:rsidP="001538F3">
      <w:pPr>
        <w:pStyle w:val="Bodynumbered1"/>
      </w:pPr>
      <w:r w:rsidRPr="001538F3">
        <w:t>The concrete cover to the steel reinforcement must be measured with a calibrated cover meter.</w:t>
      </w:r>
      <w:r w:rsidR="00E65F89">
        <w:t xml:space="preserve"> </w:t>
      </w:r>
      <w:r w:rsidRPr="001538F3">
        <w:t>One unit for concrete cover measurements from each 100 units of a batch or a maximum period of 3 months production must be selected for testing. The cover meter device must be capable of detecting the presence of reinforcement and indicating the depth from the concrete surface to the nearest point on the surface of the reinforcement with an accuracy of ± 2 mm at a depth of 25 mm.</w:t>
      </w:r>
    </w:p>
    <w:p w14:paraId="59840E09" w14:textId="77777777" w:rsidR="006364DC" w:rsidRPr="001538F3" w:rsidRDefault="006364DC" w:rsidP="001538F3">
      <w:pPr>
        <w:pStyle w:val="Bodynumbered1"/>
      </w:pPr>
      <w:r w:rsidRPr="001538F3">
        <w:t xml:space="preserve">Concrete Compressive Strength Testing must comply with the following: </w:t>
      </w:r>
    </w:p>
    <w:p w14:paraId="3A1B4C42" w14:textId="21B64536" w:rsidR="006364DC" w:rsidRDefault="006364DC" w:rsidP="007D4887">
      <w:pPr>
        <w:pStyle w:val="Bodynumbered2"/>
        <w:numPr>
          <w:ilvl w:val="0"/>
          <w:numId w:val="31"/>
        </w:numPr>
        <w:ind w:left="924" w:hanging="357"/>
      </w:pPr>
      <w:r w:rsidRPr="0043355C">
        <w:t>The rate of sampling for concrete compressive strength testing must be one sample per 5 m</w:t>
      </w:r>
      <w:r w:rsidRPr="0043355C">
        <w:rPr>
          <w:vertAlign w:val="superscript"/>
        </w:rPr>
        <w:t>3</w:t>
      </w:r>
      <w:r w:rsidRPr="0043355C">
        <w:t xml:space="preserve"> of concrete where the manufacturer batches concrete, and one sample per truck where concrete is supplied as premixed concrete in trucks.</w:t>
      </w:r>
    </w:p>
    <w:p w14:paraId="44494369" w14:textId="4B465788" w:rsidR="006364DC" w:rsidRPr="0043355C" w:rsidRDefault="006364DC" w:rsidP="007D4887">
      <w:pPr>
        <w:pStyle w:val="Bodynumbered2"/>
        <w:numPr>
          <w:ilvl w:val="0"/>
          <w:numId w:val="31"/>
        </w:numPr>
        <w:ind w:left="924" w:hanging="357"/>
      </w:pPr>
      <w:r w:rsidRPr="0043355C">
        <w:t>Each sample must consist of a minimum of 4 cylinders.</w:t>
      </w:r>
    </w:p>
    <w:p w14:paraId="49ABFF44" w14:textId="77777777" w:rsidR="006364DC" w:rsidRPr="0043355C" w:rsidRDefault="006364DC" w:rsidP="007D4887">
      <w:pPr>
        <w:pStyle w:val="Bodynumbered2"/>
        <w:numPr>
          <w:ilvl w:val="0"/>
          <w:numId w:val="31"/>
        </w:numPr>
        <w:ind w:left="924" w:hanging="357"/>
      </w:pPr>
      <w:r w:rsidRPr="0043355C">
        <w:t>A minimum of one cylinder must be tested for compressive strength to prove that the curing requirements have been satisfied.</w:t>
      </w:r>
    </w:p>
    <w:p w14:paraId="666CB1A9" w14:textId="5808E5F8" w:rsidR="006364DC" w:rsidRPr="0043355C" w:rsidRDefault="006364DC" w:rsidP="007D4887">
      <w:pPr>
        <w:pStyle w:val="Bodynumbered2"/>
        <w:numPr>
          <w:ilvl w:val="0"/>
          <w:numId w:val="31"/>
        </w:numPr>
        <w:ind w:left="924" w:hanging="357"/>
      </w:pPr>
      <w:r w:rsidRPr="0043355C">
        <w:t xml:space="preserve">Where early stripping or lifting of the Culvert Component is proposed, </w:t>
      </w:r>
      <w:r w:rsidR="009775B4">
        <w:t>a</w:t>
      </w:r>
      <w:r w:rsidR="009775B4" w:rsidRPr="0043355C">
        <w:t xml:space="preserve"> </w:t>
      </w:r>
      <w:r w:rsidRPr="0043355C">
        <w:t xml:space="preserve">minimum of one cylinder must be tested for compressive strength to demonstrate that the concrete has attained at least 0.4 </w:t>
      </w:r>
      <w:proofErr w:type="spellStart"/>
      <w:r w:rsidRPr="0043355C">
        <w:rPr>
          <w:i/>
          <w:iCs/>
        </w:rPr>
        <w:t>f’c</w:t>
      </w:r>
      <w:proofErr w:type="spellEnd"/>
      <w:r w:rsidRPr="0043355C">
        <w:t>.</w:t>
      </w:r>
    </w:p>
    <w:p w14:paraId="72E8980D" w14:textId="3913478D" w:rsidR="006364DC" w:rsidRPr="0043355C" w:rsidRDefault="006364DC" w:rsidP="007D4887">
      <w:pPr>
        <w:pStyle w:val="Bodynumbered2"/>
        <w:numPr>
          <w:ilvl w:val="0"/>
          <w:numId w:val="31"/>
        </w:numPr>
        <w:ind w:left="924" w:hanging="357"/>
      </w:pPr>
      <w:r w:rsidRPr="0043355C">
        <w:t>A minimum of two cylinders must be tested for compressive strength as a matched pair at 28 days.</w:t>
      </w:r>
      <w:r w:rsidR="00E65F89">
        <w:t xml:space="preserve"> </w:t>
      </w:r>
      <w:r w:rsidRPr="0043355C">
        <w:t xml:space="preserve">The sample result must be the average of the two results except that the lowest result must be excluded if the </w:t>
      </w:r>
      <w:proofErr w:type="gramStart"/>
      <w:r w:rsidRPr="0043355C">
        <w:t>two cylinder</w:t>
      </w:r>
      <w:proofErr w:type="gramEnd"/>
      <w:r w:rsidRPr="0043355C">
        <w:t xml:space="preserve"> results differ by more than 2 MPa.</w:t>
      </w:r>
      <w:r w:rsidR="00E65F89">
        <w:t xml:space="preserve"> </w:t>
      </w:r>
      <w:r w:rsidRPr="0043355C">
        <w:t xml:space="preserve">It the test result is less than the specified characteristic strength </w:t>
      </w:r>
      <w:proofErr w:type="gramStart"/>
      <w:r w:rsidRPr="0043355C">
        <w:t>the</w:t>
      </w:r>
      <w:proofErr w:type="gramEnd"/>
      <w:r w:rsidRPr="0043355C">
        <w:t xml:space="preserve"> lot of culverts represented by the sample must be rejected.</w:t>
      </w:r>
    </w:p>
    <w:p w14:paraId="2FABEE6A" w14:textId="271AD286" w:rsidR="00020B79" w:rsidRDefault="006364DC" w:rsidP="001538F3">
      <w:pPr>
        <w:pStyle w:val="Heading2"/>
      </w:pPr>
      <w:bookmarkStart w:id="96" w:name="_Toc42767707"/>
      <w:r w:rsidRPr="0043355C">
        <w:lastRenderedPageBreak/>
        <w:t xml:space="preserve">Type </w:t>
      </w:r>
      <w:r w:rsidR="00020B79">
        <w:t>T</w:t>
      </w:r>
      <w:r w:rsidRPr="0043355C">
        <w:t>esting</w:t>
      </w:r>
      <w:bookmarkEnd w:id="96"/>
      <w:r w:rsidRPr="0043355C">
        <w:t xml:space="preserve"> </w:t>
      </w:r>
    </w:p>
    <w:p w14:paraId="601E2DFF" w14:textId="751487D5" w:rsidR="006364DC" w:rsidRPr="0043355C" w:rsidRDefault="006364DC" w:rsidP="00020B79">
      <w:pPr>
        <w:pStyle w:val="BodyText"/>
      </w:pPr>
      <w:r w:rsidRPr="0043355C">
        <w:t>(Refer AS 1597.1 Clause 3.3)</w:t>
      </w:r>
    </w:p>
    <w:p w14:paraId="00D77279" w14:textId="77777777" w:rsidR="006364DC" w:rsidRPr="001538F3" w:rsidRDefault="006364DC" w:rsidP="001538F3">
      <w:pPr>
        <w:pStyle w:val="Bodynumbered1"/>
      </w:pPr>
      <w:r w:rsidRPr="001538F3">
        <w:t>When type tested in accordance with AS 1597.1 Clause 3.3, the culverts must satisfy the following additional requirements:</w:t>
      </w:r>
    </w:p>
    <w:p w14:paraId="644F2F79" w14:textId="686B43EB" w:rsidR="006364DC" w:rsidRPr="001538F3" w:rsidRDefault="006364DC" w:rsidP="007D4887">
      <w:pPr>
        <w:pStyle w:val="Bodynumbered2"/>
        <w:numPr>
          <w:ilvl w:val="0"/>
          <w:numId w:val="32"/>
        </w:numPr>
        <w:ind w:left="924" w:hanging="357"/>
      </w:pPr>
      <w:r w:rsidRPr="001538F3">
        <w:t xml:space="preserve">for culverts with a specified cover to reinforcement of greater than 50 mm, the crack widths </w:t>
      </w:r>
      <w:r w:rsidR="009775B4">
        <w:t>must be</w:t>
      </w:r>
      <w:r w:rsidR="009775B4" w:rsidRPr="001538F3">
        <w:t xml:space="preserve"> </w:t>
      </w:r>
      <w:r w:rsidRPr="001538F3">
        <w:t xml:space="preserve">the same as for culverts with 50 mm </w:t>
      </w:r>
      <w:proofErr w:type="gramStart"/>
      <w:r w:rsidRPr="001538F3">
        <w:t>cover;</w:t>
      </w:r>
      <w:proofErr w:type="gramEnd"/>
    </w:p>
    <w:p w14:paraId="4CDD128B" w14:textId="7FD279ED" w:rsidR="006364DC" w:rsidRPr="001538F3" w:rsidRDefault="006364DC" w:rsidP="007D4887">
      <w:pPr>
        <w:pStyle w:val="Bodynumbered2"/>
        <w:numPr>
          <w:ilvl w:val="0"/>
          <w:numId w:val="32"/>
        </w:numPr>
        <w:ind w:left="924" w:hanging="357"/>
      </w:pPr>
      <w:r w:rsidRPr="001538F3">
        <w:t xml:space="preserve">for ultimate load testing the coefficient of variation of the five recorded results must not be greater than </w:t>
      </w:r>
      <w:proofErr w:type="gramStart"/>
      <w:r w:rsidRPr="001538F3">
        <w:t>0.15;</w:t>
      </w:r>
      <w:proofErr w:type="gramEnd"/>
    </w:p>
    <w:p w14:paraId="581D3EC7" w14:textId="77777777" w:rsidR="006364DC" w:rsidRPr="001538F3" w:rsidRDefault="006364DC" w:rsidP="007D4887">
      <w:pPr>
        <w:pStyle w:val="Bodynumbered2"/>
        <w:numPr>
          <w:ilvl w:val="0"/>
          <w:numId w:val="32"/>
        </w:numPr>
        <w:ind w:left="924" w:hanging="357"/>
      </w:pPr>
      <w:r w:rsidRPr="001538F3">
        <w:t xml:space="preserve">testing of units must occur at 28 ± 5 days from the date of </w:t>
      </w:r>
      <w:proofErr w:type="gramStart"/>
      <w:r w:rsidRPr="001538F3">
        <w:t>manufacture;</w:t>
      </w:r>
      <w:proofErr w:type="gramEnd"/>
    </w:p>
    <w:p w14:paraId="74FE41CA" w14:textId="77777777" w:rsidR="006364DC" w:rsidRPr="001538F3" w:rsidRDefault="006364DC" w:rsidP="007D4887">
      <w:pPr>
        <w:pStyle w:val="Bodynumbered2"/>
        <w:numPr>
          <w:ilvl w:val="0"/>
          <w:numId w:val="32"/>
        </w:numPr>
        <w:ind w:left="924" w:hanging="357"/>
      </w:pPr>
      <w:r w:rsidRPr="001538F3">
        <w:t xml:space="preserve">manufacture of the test units must be in accordance with this Technical Specification, including all </w:t>
      </w:r>
      <w:proofErr w:type="gramStart"/>
      <w:r w:rsidRPr="001538F3">
        <w:t>materials;</w:t>
      </w:r>
      <w:proofErr w:type="gramEnd"/>
      <w:r w:rsidRPr="001538F3">
        <w:t xml:space="preserve"> </w:t>
      </w:r>
    </w:p>
    <w:p w14:paraId="592ED8FE" w14:textId="77777777" w:rsidR="006364DC" w:rsidRPr="001538F3" w:rsidRDefault="006364DC" w:rsidP="007D4887">
      <w:pPr>
        <w:pStyle w:val="Bodynumbered2"/>
        <w:numPr>
          <w:ilvl w:val="0"/>
          <w:numId w:val="32"/>
        </w:numPr>
        <w:ind w:left="924" w:hanging="357"/>
      </w:pPr>
      <w:r w:rsidRPr="001538F3">
        <w:t xml:space="preserve">for small culvert units with a nominal length of 2.4 m the design must have the same concrete thickness and distribution of reinforcement as a 1.2 m long </w:t>
      </w:r>
      <w:proofErr w:type="gramStart"/>
      <w:r w:rsidRPr="001538F3">
        <w:t>unit;</w:t>
      </w:r>
      <w:proofErr w:type="gramEnd"/>
      <w:r w:rsidRPr="001538F3">
        <w:t xml:space="preserve"> and</w:t>
      </w:r>
    </w:p>
    <w:p w14:paraId="754776CA" w14:textId="14F0B062" w:rsidR="006364DC" w:rsidRPr="001538F3" w:rsidRDefault="006364DC" w:rsidP="007D4887">
      <w:pPr>
        <w:pStyle w:val="Bodynumbered2"/>
        <w:numPr>
          <w:ilvl w:val="0"/>
          <w:numId w:val="32"/>
        </w:numPr>
        <w:ind w:left="924" w:hanging="357"/>
      </w:pPr>
      <w:r w:rsidRPr="001538F3">
        <w:t>for testing of 2.4m long units, the test load only needs to be applied to one end of the unit</w:t>
      </w:r>
      <w:r w:rsidR="00BC4613">
        <w:t>.</w:t>
      </w:r>
    </w:p>
    <w:p w14:paraId="51A52083" w14:textId="77777777" w:rsidR="006364DC" w:rsidRPr="001538F3" w:rsidRDefault="006364DC" w:rsidP="001538F3">
      <w:pPr>
        <w:pStyle w:val="Bodynumbered1"/>
      </w:pPr>
      <w:bookmarkStart w:id="97" w:name="_Ref6230761"/>
      <w:r w:rsidRPr="001538F3">
        <w:t>The type testing must be witnessed by a Professional Engineer and the results certified and reported, in accordance with AS 1597.1 Clause G9.2.</w:t>
      </w:r>
      <w:bookmarkEnd w:id="97"/>
      <w:r w:rsidRPr="001538F3">
        <w:t xml:space="preserve"> If requested, the test certificate and report must be made available to the Principal.</w:t>
      </w:r>
    </w:p>
    <w:p w14:paraId="05313E46" w14:textId="77777777" w:rsidR="00020B79" w:rsidRDefault="006364DC" w:rsidP="001538F3">
      <w:pPr>
        <w:pStyle w:val="Heading2"/>
      </w:pPr>
      <w:bookmarkStart w:id="98" w:name="_Toc42767708"/>
      <w:r w:rsidRPr="0043355C">
        <w:t>Routine Sampling and Testing</w:t>
      </w:r>
      <w:bookmarkEnd w:id="98"/>
      <w:r w:rsidRPr="0043355C">
        <w:t xml:space="preserve"> </w:t>
      </w:r>
      <w:bookmarkStart w:id="99" w:name="_Hlk5977535"/>
    </w:p>
    <w:p w14:paraId="46DD289E" w14:textId="4B0B2257" w:rsidR="006364DC" w:rsidRPr="0043355C" w:rsidRDefault="006364DC" w:rsidP="00020B79">
      <w:pPr>
        <w:pStyle w:val="BodyText"/>
      </w:pPr>
      <w:r w:rsidRPr="0043355C">
        <w:t>(Refer AS 1597.1 Clause 3.4)</w:t>
      </w:r>
      <w:bookmarkEnd w:id="99"/>
    </w:p>
    <w:p w14:paraId="2D6C05DF" w14:textId="76196CA1" w:rsidR="006364DC" w:rsidRPr="001538F3" w:rsidRDefault="006364DC" w:rsidP="001538F3">
      <w:pPr>
        <w:pStyle w:val="Bodynumbered1"/>
      </w:pPr>
      <w:r w:rsidRPr="001538F3">
        <w:t xml:space="preserve">Both proof and ultimate load testing </w:t>
      </w:r>
      <w:r w:rsidR="00BC4613">
        <w:t>are</w:t>
      </w:r>
      <w:r w:rsidR="00BC4613" w:rsidRPr="001538F3">
        <w:t xml:space="preserve"> </w:t>
      </w:r>
      <w:r w:rsidRPr="001538F3">
        <w:t>required.</w:t>
      </w:r>
    </w:p>
    <w:p w14:paraId="242A1900" w14:textId="77777777" w:rsidR="006364DC" w:rsidRPr="001538F3" w:rsidRDefault="006364DC" w:rsidP="001538F3">
      <w:pPr>
        <w:pStyle w:val="Bodynumbered1"/>
      </w:pPr>
      <w:r w:rsidRPr="001538F3">
        <w:t xml:space="preserve">For testing of 1.2m and 2.4m long units, the test load only needs to be applied to one end of the unit. </w:t>
      </w:r>
    </w:p>
    <w:p w14:paraId="7E0DD86F" w14:textId="77777777" w:rsidR="006364DC" w:rsidRPr="001538F3" w:rsidRDefault="006364DC" w:rsidP="001538F3">
      <w:pPr>
        <w:pStyle w:val="Bodynumbered1"/>
      </w:pPr>
      <w:r w:rsidRPr="001538F3">
        <w:t>A batch for proof load testing is defined as a maximum of 50 number units of the same size, and cover to reinforcement and manufactured and cured at the same casting yard within one calendar month.</w:t>
      </w:r>
    </w:p>
    <w:p w14:paraId="74350671" w14:textId="0A3BA4E6" w:rsidR="006364DC" w:rsidRPr="001538F3" w:rsidRDefault="006364DC" w:rsidP="001538F3">
      <w:pPr>
        <w:pStyle w:val="Bodynumbered1"/>
      </w:pPr>
      <w:r w:rsidRPr="001538F3">
        <w:t xml:space="preserve">If units are supplied from more than one source, or manufactured outside a </w:t>
      </w:r>
      <w:proofErr w:type="gramStart"/>
      <w:r w:rsidRPr="001538F3">
        <w:t>one month</w:t>
      </w:r>
      <w:proofErr w:type="gramEnd"/>
      <w:r w:rsidRPr="001538F3">
        <w:t xml:space="preserve"> period, these units are deemed to be more than one batch and the requirements of this Specification apply to each separate batch.</w:t>
      </w:r>
    </w:p>
    <w:p w14:paraId="31452173" w14:textId="77777777" w:rsidR="006364DC" w:rsidRPr="001538F3" w:rsidRDefault="006364DC" w:rsidP="001538F3">
      <w:pPr>
        <w:pStyle w:val="Bodynumbered1"/>
      </w:pPr>
      <w:bookmarkStart w:id="100" w:name="_Ref6227019"/>
      <w:r w:rsidRPr="001538F3">
        <w:t>A batch for ultimate load testing is defined as a maximum of 150 number of units of the same size, and cover to reinforcement and manufactured and cured at the same casting yard within three calendar months.</w:t>
      </w:r>
    </w:p>
    <w:p w14:paraId="4421111E" w14:textId="5958ACD9" w:rsidR="006364DC" w:rsidRDefault="006364DC" w:rsidP="001538F3">
      <w:pPr>
        <w:pStyle w:val="Bodynumbered1"/>
      </w:pPr>
      <w:bookmarkStart w:id="101" w:name="_Ref15023868"/>
      <w:r w:rsidRPr="001538F3">
        <w:t xml:space="preserve">If any sample element fails the respective test, that element will be </w:t>
      </w:r>
      <w:proofErr w:type="gramStart"/>
      <w:r w:rsidRPr="001538F3">
        <w:t>rejected</w:t>
      </w:r>
      <w:proofErr w:type="gramEnd"/>
      <w:r w:rsidRPr="001538F3">
        <w:t xml:space="preserve"> and the sampling regime </w:t>
      </w:r>
      <w:r w:rsidRPr="003C5CDA">
        <w:t xml:space="preserve">specified in Table </w:t>
      </w:r>
      <w:r w:rsidRPr="003C5CDA">
        <w:fldChar w:fldCharType="begin"/>
      </w:r>
      <w:r w:rsidRPr="003C5CDA">
        <w:instrText xml:space="preserve"> REF _Ref15023868 \r \h  \* MERGEFORMAT </w:instrText>
      </w:r>
      <w:r w:rsidRPr="003C5CDA">
        <w:fldChar w:fldCharType="separate"/>
      </w:r>
      <w:r w:rsidRPr="003C5CDA">
        <w:t>7.14</w:t>
      </w:r>
      <w:r w:rsidRPr="003C5CDA">
        <w:fldChar w:fldCharType="end"/>
      </w:r>
      <w:r w:rsidRPr="003C5CDA">
        <w:t xml:space="preserve"> must be implemented. Secondary samples will not be permitted during this time.</w:t>
      </w:r>
      <w:r w:rsidR="00E65F89" w:rsidRPr="003C5CDA">
        <w:t xml:space="preserve"> </w:t>
      </w:r>
      <w:r w:rsidRPr="003C5CDA">
        <w:t xml:space="preserve">The sampling frequencies specified in Table </w:t>
      </w:r>
      <w:r w:rsidRPr="003C5CDA">
        <w:fldChar w:fldCharType="begin"/>
      </w:r>
      <w:r w:rsidRPr="003C5CDA">
        <w:instrText xml:space="preserve"> REF _Ref15023868 \r \h  \* MERGEFORMAT </w:instrText>
      </w:r>
      <w:r w:rsidRPr="003C5CDA">
        <w:fldChar w:fldCharType="separate"/>
      </w:r>
      <w:r w:rsidRPr="003C5CDA">
        <w:t>7.14</w:t>
      </w:r>
      <w:r w:rsidRPr="003C5CDA">
        <w:fldChar w:fldCharType="end"/>
      </w:r>
      <w:r w:rsidRPr="003C5CDA">
        <w:t xml:space="preserve"> must be</w:t>
      </w:r>
      <w:r w:rsidRPr="001538F3">
        <w:t xml:space="preserve"> in place for a minimum of six months, after which, if no further failures have occurred, a normal sampling frequency may be resumed.</w:t>
      </w:r>
      <w:bookmarkEnd w:id="100"/>
      <w:bookmarkEnd w:id="101"/>
    </w:p>
    <w:p w14:paraId="40A41658" w14:textId="39EBD880" w:rsidR="00CB02D0" w:rsidRDefault="00CB02D0" w:rsidP="00CB02D0">
      <w:pPr>
        <w:pStyle w:val="Caption"/>
      </w:pPr>
      <w:r w:rsidRPr="003C5CDA">
        <w:t xml:space="preserve">Table </w:t>
      </w:r>
      <w:r w:rsidRPr="003C5CDA">
        <w:fldChar w:fldCharType="begin"/>
      </w:r>
      <w:r w:rsidRPr="003C5CDA">
        <w:instrText xml:space="preserve"> REF _Ref15023868 \r \h  \* MERGEFORMAT </w:instrText>
      </w:r>
      <w:r w:rsidRPr="003C5CDA">
        <w:fldChar w:fldCharType="separate"/>
      </w:r>
      <w:r w:rsidRPr="003C5CDA">
        <w:t>7.14</w:t>
      </w:r>
      <w:r w:rsidRPr="003C5CDA">
        <w:fldChar w:fldCharType="end"/>
      </w:r>
      <w:r w:rsidRPr="003C5CDA">
        <w:t>: Tightened testing frequencies</w:t>
      </w:r>
    </w:p>
    <w:tbl>
      <w:tblPr>
        <w:tblStyle w:val="TableGrid"/>
        <w:tblW w:w="0" w:type="auto"/>
        <w:tblInd w:w="56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61"/>
        <w:gridCol w:w="4110"/>
      </w:tblGrid>
      <w:tr w:rsidR="006364DC" w:rsidRPr="0043355C" w14:paraId="570CFF39" w14:textId="77777777" w:rsidTr="00CB02D0">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7FA1C4A1" w14:textId="77777777" w:rsidR="006364DC" w:rsidRPr="00474FD4" w:rsidRDefault="006364DC" w:rsidP="00474FD4">
            <w:pPr>
              <w:pStyle w:val="TableHeading"/>
              <w:rPr>
                <w:color w:val="000000" w:themeColor="text1"/>
              </w:rPr>
            </w:pPr>
            <w:r w:rsidRPr="00474FD4">
              <w:rPr>
                <w:color w:val="000000" w:themeColor="text1"/>
              </w:rPr>
              <w:t>Test</w:t>
            </w:r>
          </w:p>
        </w:tc>
        <w:tc>
          <w:tcPr>
            <w:tcW w:w="4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Pr>
          <w:p w14:paraId="7C01404F" w14:textId="77777777" w:rsidR="006364DC" w:rsidRPr="00474FD4" w:rsidRDefault="006364DC" w:rsidP="00474FD4">
            <w:pPr>
              <w:pStyle w:val="TableHeading"/>
              <w:rPr>
                <w:color w:val="000000" w:themeColor="text1"/>
              </w:rPr>
            </w:pPr>
            <w:r w:rsidRPr="00474FD4">
              <w:rPr>
                <w:color w:val="000000" w:themeColor="text1"/>
              </w:rPr>
              <w:t>Test frequency</w:t>
            </w:r>
          </w:p>
        </w:tc>
      </w:tr>
      <w:tr w:rsidR="006364DC" w:rsidRPr="0043355C" w14:paraId="53CB8FED" w14:textId="77777777" w:rsidTr="00CB02D0">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8A81689" w14:textId="77777777" w:rsidR="006364DC" w:rsidRPr="00474FD4" w:rsidRDefault="006364DC" w:rsidP="00474FD4">
            <w:pPr>
              <w:pStyle w:val="TableBodyText"/>
            </w:pPr>
            <w:r w:rsidRPr="00474FD4">
              <w:t>Proof load</w:t>
            </w:r>
          </w:p>
        </w:tc>
        <w:tc>
          <w:tcPr>
            <w:tcW w:w="4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3753DAA" w14:textId="77777777" w:rsidR="006364DC" w:rsidRPr="00474FD4" w:rsidRDefault="006364DC" w:rsidP="00474FD4">
            <w:pPr>
              <w:pStyle w:val="TableBodyText"/>
            </w:pPr>
            <w:r w:rsidRPr="00474FD4">
              <w:t>1 in 10 or weekly</w:t>
            </w:r>
            <w:r w:rsidRPr="001A6E99">
              <w:rPr>
                <w:vertAlign w:val="superscript"/>
              </w:rPr>
              <w:t>1</w:t>
            </w:r>
          </w:p>
        </w:tc>
      </w:tr>
      <w:tr w:rsidR="006364DC" w:rsidRPr="0043355C" w14:paraId="238206E7" w14:textId="77777777" w:rsidTr="00CB02D0">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35D69E3" w14:textId="77777777" w:rsidR="006364DC" w:rsidRPr="00474FD4" w:rsidRDefault="006364DC" w:rsidP="00474FD4">
            <w:pPr>
              <w:pStyle w:val="TableBodyText"/>
            </w:pPr>
            <w:r w:rsidRPr="00474FD4">
              <w:t>Ultimate load</w:t>
            </w:r>
          </w:p>
        </w:tc>
        <w:tc>
          <w:tcPr>
            <w:tcW w:w="4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1B40DCB" w14:textId="77777777" w:rsidR="006364DC" w:rsidRPr="00474FD4" w:rsidRDefault="006364DC" w:rsidP="00474FD4">
            <w:pPr>
              <w:pStyle w:val="TableBodyText"/>
            </w:pPr>
            <w:r w:rsidRPr="00474FD4">
              <w:t>1 in 50 or monthly</w:t>
            </w:r>
          </w:p>
        </w:tc>
      </w:tr>
      <w:tr w:rsidR="006364DC" w:rsidRPr="0043355C" w14:paraId="3EE1FED2" w14:textId="77777777" w:rsidTr="00CB02D0">
        <w:tc>
          <w:tcPr>
            <w:tcW w:w="3261" w:type="dxa"/>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shd w:val="clear" w:color="auto" w:fill="D9D9D9" w:themeFill="background1" w:themeFillShade="D9"/>
          </w:tcPr>
          <w:p w14:paraId="4E4FA3F5" w14:textId="77777777" w:rsidR="006364DC" w:rsidRPr="00474FD4" w:rsidRDefault="006364DC" w:rsidP="00474FD4">
            <w:pPr>
              <w:pStyle w:val="TableBodyText"/>
            </w:pPr>
            <w:r w:rsidRPr="00474FD4">
              <w:t>Cover and dimensions</w:t>
            </w:r>
          </w:p>
        </w:tc>
        <w:tc>
          <w:tcPr>
            <w:tcW w:w="4110" w:type="dxa"/>
            <w:tcBorders>
              <w:top w:val="single" w:sz="4" w:space="0" w:color="FFFFFF" w:themeColor="background1"/>
              <w:left w:val="single" w:sz="4" w:space="0" w:color="FFFFFF" w:themeColor="background1"/>
              <w:bottom w:val="single" w:sz="4" w:space="0" w:color="7F7F7F" w:themeColor="text1" w:themeTint="80"/>
              <w:right w:val="single" w:sz="4" w:space="0" w:color="FFFFFF" w:themeColor="background1"/>
            </w:tcBorders>
            <w:shd w:val="clear" w:color="auto" w:fill="D9D9D9" w:themeFill="background1" w:themeFillShade="D9"/>
          </w:tcPr>
          <w:p w14:paraId="6051D840" w14:textId="77777777" w:rsidR="006364DC" w:rsidRPr="00474FD4" w:rsidRDefault="006364DC" w:rsidP="00474FD4">
            <w:pPr>
              <w:pStyle w:val="TableBodyText"/>
            </w:pPr>
            <w:r w:rsidRPr="00474FD4">
              <w:t>1 in 50 or weekly</w:t>
            </w:r>
          </w:p>
        </w:tc>
      </w:tr>
    </w:tbl>
    <w:p w14:paraId="7EF98385" w14:textId="472552C5" w:rsidR="006364DC" w:rsidRPr="0043355C" w:rsidRDefault="006364DC" w:rsidP="00CB02D0">
      <w:pPr>
        <w:pStyle w:val="Notes"/>
        <w:numPr>
          <w:ilvl w:val="0"/>
          <w:numId w:val="50"/>
        </w:numPr>
        <w:tabs>
          <w:tab w:val="clear" w:pos="1276"/>
          <w:tab w:val="left" w:pos="851"/>
        </w:tabs>
        <w:ind w:left="851" w:hanging="284"/>
      </w:pPr>
      <w:r w:rsidRPr="0043355C">
        <w:t xml:space="preserve"> Whichever gives the greater number of tests</w:t>
      </w:r>
    </w:p>
    <w:p w14:paraId="12EF822F" w14:textId="77777777" w:rsidR="00020B79" w:rsidRDefault="006364DC" w:rsidP="00474FD4">
      <w:pPr>
        <w:pStyle w:val="Heading2"/>
      </w:pPr>
      <w:bookmarkStart w:id="102" w:name="_Toc42767709"/>
      <w:r w:rsidRPr="0043355C">
        <w:lastRenderedPageBreak/>
        <w:t>Acceptance</w:t>
      </w:r>
      <w:bookmarkEnd w:id="102"/>
      <w:r w:rsidRPr="0043355C">
        <w:t xml:space="preserve"> </w:t>
      </w:r>
    </w:p>
    <w:p w14:paraId="45377F3A" w14:textId="4D2EAEAA" w:rsidR="006364DC" w:rsidRPr="0043355C" w:rsidRDefault="006364DC" w:rsidP="00020B79">
      <w:pPr>
        <w:pStyle w:val="BodyText"/>
      </w:pPr>
      <w:r w:rsidRPr="0043355C">
        <w:t>(Refer AS 1597.1 Clause 3.4.4)</w:t>
      </w:r>
    </w:p>
    <w:p w14:paraId="7D189BEC" w14:textId="77777777" w:rsidR="006364DC" w:rsidRPr="00474FD4" w:rsidRDefault="006364DC" w:rsidP="00474FD4">
      <w:pPr>
        <w:pStyle w:val="Bodynumbered1"/>
      </w:pPr>
      <w:r w:rsidRPr="00474FD4">
        <w:t xml:space="preserve">Culvert Components will be accepted </w:t>
      </w:r>
      <w:bookmarkStart w:id="103" w:name="_Hlk8037027"/>
      <w:proofErr w:type="gramStart"/>
      <w:r w:rsidRPr="00474FD4">
        <w:t>on the basis of</w:t>
      </w:r>
      <w:proofErr w:type="gramEnd"/>
      <w:r w:rsidRPr="00474FD4">
        <w:t xml:space="preserve"> full compliance </w:t>
      </w:r>
      <w:bookmarkEnd w:id="103"/>
      <w:r w:rsidRPr="00474FD4">
        <w:t>with the requirements of this Specification and AS 1597.1.</w:t>
      </w:r>
    </w:p>
    <w:p w14:paraId="3422B45B" w14:textId="77777777" w:rsidR="006364DC" w:rsidRPr="00474FD4" w:rsidRDefault="006364DC" w:rsidP="00474FD4">
      <w:pPr>
        <w:pStyle w:val="Bodynumbered1"/>
      </w:pPr>
      <w:r w:rsidRPr="00474FD4">
        <w:t xml:space="preserve">The Sampling Plan for Routine Proof Load Testing and Ultimate Load Testing must comply with this Specification. </w:t>
      </w:r>
    </w:p>
    <w:p w14:paraId="691843D9" w14:textId="630DF49C" w:rsidR="008D01EF" w:rsidRDefault="006364DC" w:rsidP="0015061F">
      <w:pPr>
        <w:pStyle w:val="Heading1"/>
      </w:pPr>
      <w:bookmarkStart w:id="104" w:name="13.1_General"/>
      <w:bookmarkStart w:id="105" w:name="13.2_Test_and_Inspection_Reports"/>
      <w:bookmarkStart w:id="106" w:name="_Toc15450997"/>
      <w:bookmarkStart w:id="107" w:name="_Toc41035103"/>
      <w:bookmarkStart w:id="108" w:name="_Toc42767710"/>
      <w:bookmarkEnd w:id="29"/>
      <w:bookmarkEnd w:id="30"/>
      <w:bookmarkEnd w:id="22"/>
      <w:bookmarkEnd w:id="23"/>
      <w:bookmarkEnd w:id="104"/>
      <w:bookmarkEnd w:id="105"/>
      <w:r w:rsidRPr="0043355C">
        <w:t>Information to be Supplied by the Manufacturer</w:t>
      </w:r>
      <w:bookmarkEnd w:id="106"/>
      <w:bookmarkEnd w:id="107"/>
      <w:bookmarkEnd w:id="108"/>
    </w:p>
    <w:p w14:paraId="23CF805C" w14:textId="77777777" w:rsidR="006364DC" w:rsidRPr="00474FD4" w:rsidRDefault="006364DC" w:rsidP="00474FD4">
      <w:pPr>
        <w:pStyle w:val="BodyText"/>
      </w:pPr>
      <w:bookmarkStart w:id="109" w:name="_Hlk5977756"/>
      <w:bookmarkEnd w:id="24"/>
      <w:r w:rsidRPr="00474FD4">
        <w:t>(Refer AS 1597.1 Appendix A3)</w:t>
      </w:r>
      <w:bookmarkEnd w:id="109"/>
    </w:p>
    <w:p w14:paraId="6A7C21FC" w14:textId="77777777" w:rsidR="006364DC" w:rsidRPr="00474FD4" w:rsidRDefault="006364DC" w:rsidP="00474FD4">
      <w:pPr>
        <w:pStyle w:val="Bodynumbered1"/>
      </w:pPr>
      <w:bookmarkStart w:id="110" w:name="_Ref6229601"/>
      <w:bookmarkStart w:id="111" w:name="_Ref6229591"/>
      <w:r w:rsidRPr="00474FD4">
        <w:t>A Conformance Report must be supplied on, or prior to, delivery. This report must include:</w:t>
      </w:r>
      <w:bookmarkEnd w:id="110"/>
      <w:r w:rsidRPr="00474FD4">
        <w:t xml:space="preserve"> </w:t>
      </w:r>
    </w:p>
    <w:p w14:paraId="3730B536" w14:textId="6DD312DB" w:rsidR="006364DC" w:rsidRPr="00474FD4" w:rsidRDefault="006364DC" w:rsidP="007D4887">
      <w:pPr>
        <w:pStyle w:val="Bodynumbered2"/>
        <w:numPr>
          <w:ilvl w:val="0"/>
          <w:numId w:val="33"/>
        </w:numPr>
        <w:ind w:left="924" w:hanging="357"/>
      </w:pPr>
      <w:r w:rsidRPr="00474FD4">
        <w:t>Confirmation that the Culvert Components have been manufactured under a quality system certified to AS/NZS/ISO 9001 by a JASANZ accredited organisation.</w:t>
      </w:r>
    </w:p>
    <w:p w14:paraId="62A4AB56" w14:textId="2CD12127" w:rsidR="006364DC" w:rsidRPr="00474FD4" w:rsidRDefault="006364DC" w:rsidP="007D4887">
      <w:pPr>
        <w:pStyle w:val="Bodynumbered2"/>
        <w:numPr>
          <w:ilvl w:val="0"/>
          <w:numId w:val="33"/>
        </w:numPr>
        <w:ind w:left="924" w:hanging="357"/>
      </w:pPr>
      <w:r w:rsidRPr="00474FD4">
        <w:t>Definition of the batch(es) that the report covers including:</w:t>
      </w:r>
    </w:p>
    <w:p w14:paraId="624DF076" w14:textId="699479BC" w:rsidR="006364DC" w:rsidRPr="00474FD4" w:rsidRDefault="00BC4613" w:rsidP="007D4887">
      <w:pPr>
        <w:pStyle w:val="Bodynumbered2"/>
        <w:numPr>
          <w:ilvl w:val="0"/>
          <w:numId w:val="38"/>
        </w:numPr>
      </w:pPr>
      <w:r>
        <w:t>D</w:t>
      </w:r>
      <w:r w:rsidR="006364DC" w:rsidRPr="00474FD4">
        <w:t>esign (size, exposure classification, product code/drawing number)</w:t>
      </w:r>
    </w:p>
    <w:p w14:paraId="630EC01F" w14:textId="1C9D0228" w:rsidR="006364DC" w:rsidRPr="00474FD4" w:rsidRDefault="006364DC" w:rsidP="007D4887">
      <w:pPr>
        <w:pStyle w:val="Bodynumbered3"/>
        <w:numPr>
          <w:ilvl w:val="0"/>
          <w:numId w:val="39"/>
        </w:numPr>
        <w:ind w:left="1208" w:hanging="357"/>
      </w:pPr>
      <w:r w:rsidRPr="00474FD4">
        <w:t>Date range of manufacture</w:t>
      </w:r>
    </w:p>
    <w:p w14:paraId="47ED5C9F" w14:textId="2688EB70" w:rsidR="006364DC" w:rsidRPr="00474FD4" w:rsidRDefault="00474FD4" w:rsidP="00474FD4">
      <w:pPr>
        <w:pStyle w:val="Bodynumbered3"/>
        <w:numPr>
          <w:ilvl w:val="0"/>
          <w:numId w:val="0"/>
        </w:numPr>
        <w:ind w:left="1208" w:hanging="357"/>
      </w:pPr>
      <w:r>
        <w:t>i</w:t>
      </w:r>
      <w:r w:rsidR="00BC4613">
        <w:t>i</w:t>
      </w:r>
      <w:r>
        <w:t>i)</w:t>
      </w:r>
      <w:r w:rsidRPr="00474FD4">
        <w:tab/>
      </w:r>
      <w:r w:rsidR="006364DC" w:rsidRPr="00474FD4">
        <w:t>Individual unit identifiers</w:t>
      </w:r>
    </w:p>
    <w:p w14:paraId="78072729" w14:textId="04ABE13A" w:rsidR="006364DC" w:rsidRPr="00474FD4" w:rsidRDefault="00474FD4" w:rsidP="00474FD4">
      <w:pPr>
        <w:pStyle w:val="Bodynumbered3"/>
        <w:numPr>
          <w:ilvl w:val="0"/>
          <w:numId w:val="0"/>
        </w:numPr>
        <w:ind w:left="1208" w:hanging="357"/>
      </w:pPr>
      <w:r>
        <w:t>i</w:t>
      </w:r>
      <w:r w:rsidR="00BC4613">
        <w:t>v</w:t>
      </w:r>
      <w:r>
        <w:t>)</w:t>
      </w:r>
      <w:r>
        <w:tab/>
      </w:r>
      <w:r w:rsidR="006364DC" w:rsidRPr="00474FD4">
        <w:t>Batch size</w:t>
      </w:r>
      <w:r w:rsidR="007D4887">
        <w:t>.</w:t>
      </w:r>
    </w:p>
    <w:p w14:paraId="45764336" w14:textId="0D6FEDC3" w:rsidR="006364DC" w:rsidRPr="00474FD4" w:rsidRDefault="00BC4613" w:rsidP="00474FD4">
      <w:pPr>
        <w:pStyle w:val="Bodynumbered2"/>
        <w:numPr>
          <w:ilvl w:val="0"/>
          <w:numId w:val="0"/>
        </w:numPr>
        <w:ind w:left="924" w:hanging="357"/>
      </w:pPr>
      <w:r>
        <w:t>c</w:t>
      </w:r>
      <w:r w:rsidR="00474FD4">
        <w:t>)</w:t>
      </w:r>
      <w:r w:rsidR="00474FD4">
        <w:tab/>
      </w:r>
      <w:r w:rsidR="007D4887">
        <w:t xml:space="preserve">A </w:t>
      </w:r>
      <w:r w:rsidR="006364DC" w:rsidRPr="00474FD4">
        <w:t xml:space="preserve">Visual Inspection report </w:t>
      </w:r>
      <w:r w:rsidR="007D4887">
        <w:t xml:space="preserve">issued </w:t>
      </w:r>
      <w:r w:rsidR="006364DC" w:rsidRPr="00474FD4">
        <w:t>prior to transportation from the casting yard.</w:t>
      </w:r>
    </w:p>
    <w:p w14:paraId="64FD3712" w14:textId="2D7C1B12" w:rsidR="006364DC" w:rsidRPr="00474FD4" w:rsidRDefault="00BC4613" w:rsidP="00474FD4">
      <w:pPr>
        <w:pStyle w:val="Bodynumbered2"/>
        <w:numPr>
          <w:ilvl w:val="0"/>
          <w:numId w:val="0"/>
        </w:numPr>
        <w:ind w:left="924" w:hanging="357"/>
      </w:pPr>
      <w:r>
        <w:t>d</w:t>
      </w:r>
      <w:r w:rsidR="00474FD4">
        <w:t>)</w:t>
      </w:r>
      <w:r w:rsidR="00474FD4">
        <w:tab/>
      </w:r>
      <w:r w:rsidR="006364DC" w:rsidRPr="00474FD4">
        <w:t>Certification of the lifting mechanism from the Professional Engineer.</w:t>
      </w:r>
    </w:p>
    <w:p w14:paraId="6136A02D" w14:textId="38B01802" w:rsidR="006364DC" w:rsidRPr="00474FD4" w:rsidRDefault="00BC4613" w:rsidP="00474FD4">
      <w:pPr>
        <w:pStyle w:val="Bodynumbered2"/>
        <w:numPr>
          <w:ilvl w:val="0"/>
          <w:numId w:val="0"/>
        </w:numPr>
        <w:ind w:left="924" w:hanging="357"/>
      </w:pPr>
      <w:r>
        <w:t>e</w:t>
      </w:r>
      <w:r w:rsidR="00474FD4">
        <w:t>)</w:t>
      </w:r>
      <w:r w:rsidR="00474FD4">
        <w:tab/>
      </w:r>
      <w:r w:rsidR="006364DC" w:rsidRPr="00474FD4">
        <w:t>Report(s) of load testing in accordance with AS 1597.1 Clause 3.2.3, including:</w:t>
      </w:r>
    </w:p>
    <w:p w14:paraId="7C15D047" w14:textId="77777777" w:rsidR="007D4887" w:rsidRDefault="006364DC" w:rsidP="007D4887">
      <w:pPr>
        <w:pStyle w:val="Bodynumbered3"/>
        <w:numPr>
          <w:ilvl w:val="0"/>
          <w:numId w:val="25"/>
        </w:numPr>
        <w:ind w:left="1208" w:hanging="357"/>
      </w:pPr>
      <w:r w:rsidRPr="00474FD4">
        <w:t>Proving test load results</w:t>
      </w:r>
    </w:p>
    <w:p w14:paraId="1C68221D" w14:textId="77777777" w:rsidR="007D4887" w:rsidRDefault="007D4887" w:rsidP="007D4887">
      <w:pPr>
        <w:pStyle w:val="Bodynumbered3"/>
        <w:numPr>
          <w:ilvl w:val="0"/>
          <w:numId w:val="25"/>
        </w:numPr>
        <w:ind w:left="1208" w:hanging="357"/>
      </w:pPr>
      <w:r>
        <w:t>Ul</w:t>
      </w:r>
      <w:r w:rsidR="006364DC" w:rsidRPr="00474FD4">
        <w:t>timate load test results</w:t>
      </w:r>
    </w:p>
    <w:p w14:paraId="492BA1FA" w14:textId="77777777" w:rsidR="007D4887" w:rsidRDefault="006364DC" w:rsidP="007D4887">
      <w:pPr>
        <w:pStyle w:val="Bodynumbered3"/>
        <w:numPr>
          <w:ilvl w:val="0"/>
          <w:numId w:val="25"/>
        </w:numPr>
        <w:ind w:left="1208" w:hanging="357"/>
      </w:pPr>
      <w:r w:rsidRPr="00474FD4">
        <w:t>Concrete compressive strength</w:t>
      </w:r>
    </w:p>
    <w:p w14:paraId="7EDCD8CF" w14:textId="77777777" w:rsidR="007D4887" w:rsidRDefault="006364DC" w:rsidP="007D4887">
      <w:pPr>
        <w:pStyle w:val="Bodynumbered3"/>
        <w:numPr>
          <w:ilvl w:val="0"/>
          <w:numId w:val="25"/>
        </w:numPr>
        <w:ind w:left="1208" w:hanging="357"/>
      </w:pPr>
      <w:r w:rsidRPr="00474FD4">
        <w:t>Cover to reinforcement</w:t>
      </w:r>
    </w:p>
    <w:p w14:paraId="296907D7" w14:textId="636A44C3" w:rsidR="006364DC" w:rsidRPr="00474FD4" w:rsidRDefault="006364DC" w:rsidP="007D4887">
      <w:pPr>
        <w:pStyle w:val="Bodynumbered3"/>
        <w:numPr>
          <w:ilvl w:val="0"/>
          <w:numId w:val="25"/>
        </w:numPr>
        <w:ind w:left="1208" w:hanging="357"/>
      </w:pPr>
      <w:r w:rsidRPr="00474FD4">
        <w:t>Dimension accuracy checks</w:t>
      </w:r>
    </w:p>
    <w:p w14:paraId="3D5E83D8" w14:textId="17244F02" w:rsidR="006364DC" w:rsidRPr="0043355C" w:rsidRDefault="006364DC" w:rsidP="007D4887">
      <w:pPr>
        <w:pStyle w:val="Bodynumbered2"/>
        <w:numPr>
          <w:ilvl w:val="0"/>
          <w:numId w:val="31"/>
        </w:numPr>
        <w:ind w:left="924" w:hanging="357"/>
      </w:pPr>
      <w:r w:rsidRPr="0043355C">
        <w:t>Steam curing charts.</w:t>
      </w:r>
    </w:p>
    <w:p w14:paraId="6DF4CCE8" w14:textId="2D31D07D" w:rsidR="006364DC" w:rsidRPr="0043355C" w:rsidRDefault="007D4887" w:rsidP="007D4887">
      <w:pPr>
        <w:pStyle w:val="Bodynumbered2"/>
        <w:numPr>
          <w:ilvl w:val="0"/>
          <w:numId w:val="31"/>
        </w:numPr>
        <w:ind w:left="924" w:hanging="357"/>
      </w:pPr>
      <w:r>
        <w:t>A s</w:t>
      </w:r>
      <w:r w:rsidRPr="0043355C">
        <w:t xml:space="preserve">tatement </w:t>
      </w:r>
      <w:r w:rsidR="006364DC" w:rsidRPr="0043355C">
        <w:t>of whether the Culvert Component is defect free, has an acceptable defect or has been repaired/tested in accordance with Table 2.8 “Acceptability of Defects” of AS/NZS 1579.1.</w:t>
      </w:r>
    </w:p>
    <w:p w14:paraId="6FCAA142" w14:textId="4B994B73" w:rsidR="005D6266" w:rsidRPr="00474FD4" w:rsidRDefault="006364DC" w:rsidP="00474FD4">
      <w:pPr>
        <w:pStyle w:val="Bodynumbered1"/>
      </w:pPr>
      <w:bookmarkStart w:id="112" w:name="_Ref15025136"/>
      <w:r w:rsidRPr="00474FD4">
        <w:t xml:space="preserve">With each batch of Culvert Components delivered to the site, a delivery docket must be supplied that provides traceability to the Conformance Report for the batch. The delivery docket must also state that the culverts supplied conform to the requirements of this Specification. </w:t>
      </w:r>
      <w:bookmarkEnd w:id="111"/>
      <w:bookmarkEnd w:id="112"/>
    </w:p>
    <w:tbl>
      <w:tblPr>
        <w:tblStyle w:val="SimpleTable5"/>
        <w:tblW w:w="9072"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10"/>
        <w:gridCol w:w="6662"/>
      </w:tblGrid>
      <w:tr w:rsidR="005D6266" w:rsidRPr="0043355C" w14:paraId="37B7CD33" w14:textId="77777777" w:rsidTr="00CB02D0">
        <w:trPr>
          <w:cnfStyle w:val="100000000000" w:firstRow="1" w:lastRow="0" w:firstColumn="0" w:lastColumn="0" w:oddVBand="0" w:evenVBand="0" w:oddHBand="0" w:evenHBand="0" w:firstRowFirstColumn="0" w:firstRowLastColumn="0" w:lastRowFirstColumn="0" w:lastRowLastColumn="0"/>
        </w:trPr>
        <w:tc>
          <w:tcPr>
            <w:tcW w:w="9072" w:type="dxa"/>
            <w:gridSpan w:val="2"/>
            <w:shd w:val="clear" w:color="auto" w:fill="004259"/>
          </w:tcPr>
          <w:p w14:paraId="34979EE7" w14:textId="6B182971" w:rsidR="005D6266" w:rsidRPr="00602A13" w:rsidRDefault="005D6266" w:rsidP="00AC5C8A">
            <w:pPr>
              <w:pStyle w:val="TableHeading"/>
              <w:rPr>
                <w:b/>
                <w:bCs/>
              </w:rPr>
            </w:pPr>
            <w:r w:rsidRPr="00602A13">
              <w:rPr>
                <w:b/>
                <w:bCs/>
              </w:rPr>
              <w:t>HOLD POINT </w:t>
            </w:r>
            <w:r w:rsidR="00602A13">
              <w:rPr>
                <w:b/>
                <w:bCs/>
              </w:rPr>
              <w:t>2</w:t>
            </w:r>
            <w:r w:rsidRPr="00602A13">
              <w:rPr>
                <w:b/>
                <w:bCs/>
              </w:rPr>
              <w:t>.</w:t>
            </w:r>
            <w:r w:rsidR="00E65F89">
              <w:rPr>
                <w:b/>
                <w:bCs/>
              </w:rPr>
              <w:t xml:space="preserve"> </w:t>
            </w:r>
          </w:p>
        </w:tc>
      </w:tr>
      <w:tr w:rsidR="005D6266" w:rsidRPr="0043355C" w14:paraId="1808E395" w14:textId="77777777" w:rsidTr="00CB02D0">
        <w:tc>
          <w:tcPr>
            <w:tcW w:w="2410" w:type="dxa"/>
            <w:tcBorders>
              <w:bottom w:val="single" w:sz="4" w:space="0" w:color="FFFFFF" w:themeColor="background1"/>
            </w:tcBorders>
            <w:shd w:val="clear" w:color="auto" w:fill="D9D9D9" w:themeFill="background1" w:themeFillShade="D9"/>
          </w:tcPr>
          <w:p w14:paraId="2147E9BB" w14:textId="77777777" w:rsidR="005D6266" w:rsidRPr="0043355C" w:rsidRDefault="005D6266" w:rsidP="00AC5C8A">
            <w:pPr>
              <w:pStyle w:val="TableBodyText"/>
              <w:rPr>
                <w:b/>
                <w:bCs w:val="0"/>
              </w:rPr>
            </w:pPr>
            <w:r w:rsidRPr="0043355C">
              <w:rPr>
                <w:bCs w:val="0"/>
              </w:rPr>
              <w:t>Process Held</w:t>
            </w:r>
          </w:p>
        </w:tc>
        <w:tc>
          <w:tcPr>
            <w:tcW w:w="6662" w:type="dxa"/>
            <w:tcBorders>
              <w:bottom w:val="single" w:sz="4" w:space="0" w:color="FFFFFF" w:themeColor="background1"/>
            </w:tcBorders>
            <w:shd w:val="clear" w:color="auto" w:fill="D9D9D9" w:themeFill="background1" w:themeFillShade="D9"/>
          </w:tcPr>
          <w:p w14:paraId="5EDE7A5B" w14:textId="77777777" w:rsidR="005D6266" w:rsidRPr="0043355C" w:rsidRDefault="005D6266" w:rsidP="00AC5C8A">
            <w:pPr>
              <w:pStyle w:val="TableBodyText"/>
              <w:rPr>
                <w:b/>
                <w:bCs w:val="0"/>
              </w:rPr>
            </w:pPr>
            <w:r w:rsidRPr="0043355C">
              <w:rPr>
                <w:bCs w:val="0"/>
              </w:rPr>
              <w:t>Incorporation of Culvert Components into the Works</w:t>
            </w:r>
          </w:p>
        </w:tc>
      </w:tr>
      <w:tr w:rsidR="005D6266" w:rsidRPr="0043355C" w14:paraId="0DD56E0F" w14:textId="77777777" w:rsidTr="00CB02D0">
        <w:tc>
          <w:tcPr>
            <w:tcW w:w="2410" w:type="dxa"/>
            <w:tcBorders>
              <w:bottom w:val="single" w:sz="4" w:space="0" w:color="004259"/>
            </w:tcBorders>
            <w:shd w:val="clear" w:color="auto" w:fill="D9D9D9" w:themeFill="background1" w:themeFillShade="D9"/>
          </w:tcPr>
          <w:p w14:paraId="280F7B89" w14:textId="77777777" w:rsidR="005D6266" w:rsidRPr="0043355C" w:rsidRDefault="005D6266" w:rsidP="00AC5C8A">
            <w:pPr>
              <w:pStyle w:val="TableBodyText"/>
              <w:rPr>
                <w:b/>
                <w:bCs w:val="0"/>
              </w:rPr>
            </w:pPr>
            <w:r w:rsidRPr="0043355C">
              <w:rPr>
                <w:bCs w:val="0"/>
              </w:rPr>
              <w:t>Submission Details</w:t>
            </w:r>
          </w:p>
        </w:tc>
        <w:tc>
          <w:tcPr>
            <w:tcW w:w="6662" w:type="dxa"/>
            <w:tcBorders>
              <w:bottom w:val="single" w:sz="4" w:space="0" w:color="004259"/>
            </w:tcBorders>
            <w:shd w:val="clear" w:color="auto" w:fill="D9D9D9" w:themeFill="background1" w:themeFillShade="D9"/>
          </w:tcPr>
          <w:p w14:paraId="7502F748" w14:textId="77777777" w:rsidR="005D6266" w:rsidRPr="0043355C" w:rsidRDefault="005D6266" w:rsidP="00AC5C8A">
            <w:pPr>
              <w:pStyle w:val="TableBodyText"/>
              <w:rPr>
                <w:b/>
                <w:bCs w:val="0"/>
              </w:rPr>
            </w:pPr>
            <w:r w:rsidRPr="0043355C">
              <w:rPr>
                <w:bCs w:val="0"/>
              </w:rPr>
              <w:t>The Conformance Report and Delivery Docket must be provided at least 2 days prior to the incorporation of the Culvert Components into the Works.</w:t>
            </w:r>
          </w:p>
        </w:tc>
      </w:tr>
    </w:tbl>
    <w:p w14:paraId="4FEBF450" w14:textId="77777777" w:rsidR="005D6266" w:rsidRPr="0043355C" w:rsidRDefault="005D6266" w:rsidP="005D6266">
      <w:pPr>
        <w:pStyle w:val="BodyText"/>
        <w:numPr>
          <w:ilvl w:val="1"/>
          <w:numId w:val="10"/>
        </w:numPr>
      </w:pPr>
      <w:r w:rsidRPr="0043355C">
        <w:br w:type="page"/>
      </w:r>
    </w:p>
    <w:p w14:paraId="2A088A1D" w14:textId="3F5D7F83" w:rsidR="005D6266" w:rsidRPr="0043355C" w:rsidRDefault="005D6266" w:rsidP="00602A13">
      <w:pPr>
        <w:pStyle w:val="Heading1"/>
        <w:numPr>
          <w:ilvl w:val="0"/>
          <w:numId w:val="0"/>
        </w:numPr>
      </w:pPr>
      <w:bookmarkStart w:id="113" w:name="_Toc26182495"/>
      <w:bookmarkStart w:id="114" w:name="_Toc41035104"/>
      <w:bookmarkStart w:id="115" w:name="_Toc42767711"/>
      <w:r w:rsidRPr="0043355C">
        <w:lastRenderedPageBreak/>
        <w:t>Annexure A:</w:t>
      </w:r>
      <w:r w:rsidRPr="0043355C">
        <w:tab/>
        <w:t>Summary of Hold Points, Witness Points and Records</w:t>
      </w:r>
      <w:bookmarkEnd w:id="113"/>
      <w:bookmarkEnd w:id="114"/>
      <w:bookmarkEnd w:id="115"/>
    </w:p>
    <w:p w14:paraId="24A74757" w14:textId="0429BBA8" w:rsidR="005D6266" w:rsidRPr="0043355C" w:rsidRDefault="005D6266" w:rsidP="00602A13">
      <w:pPr>
        <w:pStyle w:val="BodyText"/>
      </w:pPr>
      <w:r w:rsidRPr="0043355C">
        <w:t xml:space="preserve">The following is a summary of the Witness Points/Hold Points that apply to this Specification and the Records that must be supplied by the Contractor to the Principal to demonstrate compliance with this </w:t>
      </w:r>
      <w:r w:rsidR="00602A13">
        <w:t>S</w:t>
      </w:r>
      <w:r w:rsidRPr="0043355C">
        <w:t>pecification.</w:t>
      </w:r>
    </w:p>
    <w:tbl>
      <w:tblPr>
        <w:tblStyle w:val="TMTable1"/>
        <w:tblW w:w="0" w:type="auto"/>
        <w:tblLayout w:type="fixed"/>
        <w:tblLook w:val="04A0" w:firstRow="1" w:lastRow="0" w:firstColumn="1" w:lastColumn="0" w:noHBand="0" w:noVBand="1"/>
      </w:tblPr>
      <w:tblGrid>
        <w:gridCol w:w="1129"/>
        <w:gridCol w:w="3261"/>
        <w:gridCol w:w="1842"/>
        <w:gridCol w:w="3261"/>
      </w:tblGrid>
      <w:tr w:rsidR="005D6266" w:rsidRPr="0043355C" w14:paraId="31FA1829" w14:textId="77777777" w:rsidTr="00CB02D0">
        <w:trPr>
          <w:cnfStyle w:val="100000000000" w:firstRow="1" w:lastRow="0" w:firstColumn="0" w:lastColumn="0" w:oddVBand="0" w:evenVBand="0" w:oddHBand="0" w:evenHBand="0" w:firstRowFirstColumn="0" w:firstRowLastColumn="0" w:lastRowFirstColumn="0" w:lastRowLastColumn="0"/>
        </w:trPr>
        <w:tc>
          <w:tcPr>
            <w:tcW w:w="1129" w:type="dxa"/>
          </w:tcPr>
          <w:p w14:paraId="40688F0D" w14:textId="65B0F239" w:rsidR="005D6266" w:rsidRPr="00CB02D0" w:rsidRDefault="00CB02D0" w:rsidP="00AC5C8A">
            <w:pPr>
              <w:pStyle w:val="TableHeading"/>
              <w:rPr>
                <w:rFonts w:eastAsia="SimSun"/>
                <w:b/>
                <w:bCs/>
              </w:rPr>
            </w:pPr>
            <w:r w:rsidRPr="00CB02D0">
              <w:rPr>
                <w:rFonts w:eastAsia="SimSun"/>
                <w:b/>
                <w:bCs/>
              </w:rPr>
              <w:t>Clause</w:t>
            </w:r>
          </w:p>
        </w:tc>
        <w:tc>
          <w:tcPr>
            <w:tcW w:w="3261" w:type="dxa"/>
          </w:tcPr>
          <w:p w14:paraId="0644B347" w14:textId="27710CD5" w:rsidR="005D6266" w:rsidRPr="00CB02D0" w:rsidRDefault="00CB02D0" w:rsidP="00AC5C8A">
            <w:pPr>
              <w:pStyle w:val="TableHeading"/>
              <w:rPr>
                <w:rFonts w:eastAsia="SimSun"/>
                <w:b/>
                <w:bCs/>
              </w:rPr>
            </w:pPr>
            <w:r w:rsidRPr="00CB02D0">
              <w:rPr>
                <w:rFonts w:eastAsia="SimSun"/>
                <w:b/>
                <w:bCs/>
              </w:rPr>
              <w:t>Hold point</w:t>
            </w:r>
          </w:p>
        </w:tc>
        <w:tc>
          <w:tcPr>
            <w:tcW w:w="1842" w:type="dxa"/>
          </w:tcPr>
          <w:p w14:paraId="149E5E32" w14:textId="00213F6F" w:rsidR="005D6266" w:rsidRPr="00CB02D0" w:rsidRDefault="00CB02D0" w:rsidP="00AC5C8A">
            <w:pPr>
              <w:pStyle w:val="TableHeading"/>
              <w:rPr>
                <w:rFonts w:eastAsia="SimSun"/>
                <w:b/>
                <w:bCs/>
              </w:rPr>
            </w:pPr>
            <w:r w:rsidRPr="00CB02D0">
              <w:rPr>
                <w:rFonts w:eastAsia="SimSun"/>
                <w:b/>
                <w:bCs/>
              </w:rPr>
              <w:t>Witness point</w:t>
            </w:r>
          </w:p>
        </w:tc>
        <w:tc>
          <w:tcPr>
            <w:tcW w:w="3261" w:type="dxa"/>
          </w:tcPr>
          <w:p w14:paraId="1A906EDF" w14:textId="77C98E3A" w:rsidR="005D6266" w:rsidRPr="00CB02D0" w:rsidRDefault="00CB02D0" w:rsidP="00AC5C8A">
            <w:pPr>
              <w:pStyle w:val="TableHeading"/>
              <w:rPr>
                <w:rFonts w:eastAsia="SimSun"/>
                <w:b/>
                <w:bCs/>
              </w:rPr>
            </w:pPr>
            <w:r w:rsidRPr="00CB02D0">
              <w:rPr>
                <w:rFonts w:eastAsia="SimSun"/>
                <w:b/>
                <w:bCs/>
              </w:rPr>
              <w:t>Record</w:t>
            </w:r>
          </w:p>
        </w:tc>
      </w:tr>
      <w:tr w:rsidR="005D6266" w:rsidRPr="0043355C" w14:paraId="4E758724" w14:textId="77777777" w:rsidTr="00CB02D0">
        <w:tc>
          <w:tcPr>
            <w:tcW w:w="1129" w:type="dxa"/>
          </w:tcPr>
          <w:p w14:paraId="627DAABE" w14:textId="77777777" w:rsidR="005D6266" w:rsidRPr="0043355C" w:rsidRDefault="005D6266" w:rsidP="00602A13">
            <w:pPr>
              <w:pStyle w:val="TableBodyText"/>
            </w:pPr>
            <w:r w:rsidRPr="0043355C">
              <w:fldChar w:fldCharType="begin"/>
            </w:r>
            <w:r w:rsidRPr="0043355C">
              <w:instrText xml:space="preserve"> REF _Ref15024094 \r \h </w:instrText>
            </w:r>
            <w:r>
              <w:instrText xml:space="preserve"> \* MERGEFORMAT </w:instrText>
            </w:r>
            <w:r w:rsidRPr="0043355C">
              <w:fldChar w:fldCharType="separate"/>
            </w:r>
            <w:r>
              <w:t>6.26</w:t>
            </w:r>
            <w:r w:rsidRPr="0043355C">
              <w:fldChar w:fldCharType="end"/>
            </w:r>
          </w:p>
        </w:tc>
        <w:tc>
          <w:tcPr>
            <w:tcW w:w="3261" w:type="dxa"/>
          </w:tcPr>
          <w:p w14:paraId="0A0C30AA" w14:textId="77777777" w:rsidR="005D6266" w:rsidRPr="0043355C" w:rsidRDefault="005D6266" w:rsidP="00602A13">
            <w:pPr>
              <w:pStyle w:val="TableBodyText"/>
              <w:ind w:left="457" w:hanging="429"/>
            </w:pPr>
            <w:r w:rsidRPr="0043355C">
              <w:rPr>
                <w:rFonts w:eastAsia="SimSun"/>
              </w:rPr>
              <w:t>1.</w:t>
            </w:r>
            <w:r w:rsidRPr="0043355C">
              <w:rPr>
                <w:rFonts w:eastAsia="SimSun"/>
              </w:rPr>
              <w:tab/>
              <w:t>Supply of Culvert Components</w:t>
            </w:r>
          </w:p>
        </w:tc>
        <w:tc>
          <w:tcPr>
            <w:tcW w:w="1842" w:type="dxa"/>
          </w:tcPr>
          <w:p w14:paraId="10B3A3FB" w14:textId="5C951D7A" w:rsidR="005D6266" w:rsidRPr="0043355C" w:rsidRDefault="005D6266" w:rsidP="00602A13">
            <w:pPr>
              <w:pStyle w:val="TableBodyText"/>
            </w:pPr>
          </w:p>
        </w:tc>
        <w:tc>
          <w:tcPr>
            <w:tcW w:w="3261" w:type="dxa"/>
          </w:tcPr>
          <w:p w14:paraId="56A68CD4" w14:textId="18FAD2AF" w:rsidR="005D6266" w:rsidRPr="0043355C" w:rsidRDefault="005D6266" w:rsidP="00602A13">
            <w:pPr>
              <w:pStyle w:val="TableBodyText"/>
            </w:pPr>
            <w:r w:rsidRPr="0043355C">
              <w:rPr>
                <w:rFonts w:eastAsia="SimSun"/>
              </w:rPr>
              <w:t>Evidence that the concrete mix design has</w:t>
            </w:r>
            <w:r w:rsidR="00020B79">
              <w:rPr>
                <w:rFonts w:eastAsia="SimSun"/>
              </w:rPr>
              <w:t xml:space="preserve"> </w:t>
            </w:r>
            <w:r w:rsidRPr="0043355C">
              <w:rPr>
                <w:rFonts w:eastAsia="SimSun"/>
              </w:rPr>
              <w:t xml:space="preserve">been submitted to the Principal </w:t>
            </w:r>
          </w:p>
        </w:tc>
      </w:tr>
      <w:tr w:rsidR="005D6266" w:rsidRPr="0043355C" w14:paraId="43B46268" w14:textId="77777777" w:rsidTr="00CB02D0">
        <w:tc>
          <w:tcPr>
            <w:tcW w:w="1129" w:type="dxa"/>
          </w:tcPr>
          <w:p w14:paraId="0DCE6006" w14:textId="77777777" w:rsidR="005D6266" w:rsidRPr="0043355C" w:rsidRDefault="005D6266" w:rsidP="00602A13">
            <w:pPr>
              <w:pStyle w:val="TableBodyText"/>
            </w:pPr>
            <w:r w:rsidRPr="0043355C">
              <w:fldChar w:fldCharType="begin"/>
            </w:r>
            <w:r w:rsidRPr="0043355C">
              <w:instrText xml:space="preserve"> REF _Ref15025136 \r \h  \* MERGEFORMAT </w:instrText>
            </w:r>
            <w:r w:rsidRPr="0043355C">
              <w:fldChar w:fldCharType="separate"/>
            </w:r>
            <w:r>
              <w:t>8.2</w:t>
            </w:r>
            <w:r w:rsidRPr="0043355C">
              <w:fldChar w:fldCharType="end"/>
            </w:r>
          </w:p>
        </w:tc>
        <w:tc>
          <w:tcPr>
            <w:tcW w:w="3261" w:type="dxa"/>
          </w:tcPr>
          <w:p w14:paraId="414687E4" w14:textId="77777777" w:rsidR="005D6266" w:rsidRPr="0043355C" w:rsidRDefault="005D6266" w:rsidP="00602A13">
            <w:pPr>
              <w:pStyle w:val="TableBodyText"/>
              <w:ind w:left="457" w:hanging="429"/>
              <w:rPr>
                <w:rFonts w:eastAsia="SimSun"/>
              </w:rPr>
            </w:pPr>
            <w:r w:rsidRPr="0043355C">
              <w:rPr>
                <w:rFonts w:eastAsia="SimSun"/>
              </w:rPr>
              <w:t>2.</w:t>
            </w:r>
            <w:r w:rsidRPr="0043355C">
              <w:rPr>
                <w:rFonts w:eastAsia="SimSun"/>
              </w:rPr>
              <w:tab/>
              <w:t>Incorporation of Culvert Components into the Works</w:t>
            </w:r>
          </w:p>
        </w:tc>
        <w:tc>
          <w:tcPr>
            <w:tcW w:w="1842" w:type="dxa"/>
          </w:tcPr>
          <w:p w14:paraId="49D81B22" w14:textId="77777777" w:rsidR="005D6266" w:rsidRPr="0043355C" w:rsidRDefault="005D6266" w:rsidP="00602A13">
            <w:pPr>
              <w:pStyle w:val="TableBodyText"/>
            </w:pPr>
          </w:p>
        </w:tc>
        <w:tc>
          <w:tcPr>
            <w:tcW w:w="3261" w:type="dxa"/>
          </w:tcPr>
          <w:p w14:paraId="0295B103" w14:textId="77777777" w:rsidR="005D6266" w:rsidRPr="0043355C" w:rsidRDefault="005D6266" w:rsidP="00602A13">
            <w:pPr>
              <w:pStyle w:val="TableBodyText"/>
            </w:pPr>
            <w:r w:rsidRPr="0043355C">
              <w:rPr>
                <w:rFonts w:eastAsia="SimSun"/>
              </w:rPr>
              <w:t>Conformance Report and Delivery Docket</w:t>
            </w:r>
          </w:p>
        </w:tc>
      </w:tr>
    </w:tbl>
    <w:p w14:paraId="7A3010F6" w14:textId="77777777" w:rsidR="005D6266" w:rsidRPr="0043355C" w:rsidRDefault="005D6266" w:rsidP="00602A13">
      <w:pPr>
        <w:pStyle w:val="TableBodyText"/>
      </w:pPr>
    </w:p>
    <w:p w14:paraId="52F058F6" w14:textId="3694B36C" w:rsidR="005D6266" w:rsidRDefault="005D6266">
      <w:pPr>
        <w:rPr>
          <w:rFonts w:ascii="Arial" w:eastAsiaTheme="minorEastAsia" w:hAnsi="Arial"/>
          <w:bCs/>
          <w:sz w:val="20"/>
          <w:szCs w:val="20"/>
          <w:lang w:val="en-US" w:eastAsia="ja-JP"/>
        </w:rPr>
      </w:pPr>
      <w:r>
        <w:br w:type="page"/>
      </w:r>
    </w:p>
    <w:p w14:paraId="669F0CBD" w14:textId="5010C1F2" w:rsidR="00AF1D72" w:rsidRPr="008C101C" w:rsidRDefault="005D6266" w:rsidP="005D6266">
      <w:pPr>
        <w:pStyle w:val="Heading1nonumber"/>
      </w:pPr>
      <w:r>
        <w:lastRenderedPageBreak/>
        <w:t>A</w:t>
      </w:r>
      <w:r w:rsidR="00AF1D72" w:rsidRPr="008C101C">
        <w:t>mendment Record</w:t>
      </w:r>
    </w:p>
    <w:tbl>
      <w:tblPr>
        <w:tblStyle w:val="TMTable"/>
        <w:tblW w:w="5000" w:type="pct"/>
        <w:tblLayout w:type="fixed"/>
        <w:tblLook w:val="01E0" w:firstRow="1" w:lastRow="1" w:firstColumn="1" w:lastColumn="1" w:noHBand="0" w:noVBand="0"/>
      </w:tblPr>
      <w:tblGrid>
        <w:gridCol w:w="1834"/>
        <w:gridCol w:w="4587"/>
        <w:gridCol w:w="1649"/>
        <w:gridCol w:w="1420"/>
      </w:tblGrid>
      <w:tr w:rsidR="00AF1D72" w:rsidRPr="00731EA0" w14:paraId="31CB915B" w14:textId="77777777" w:rsidTr="00CB02D0">
        <w:trPr>
          <w:cnfStyle w:val="100000000000" w:firstRow="1" w:lastRow="0" w:firstColumn="0" w:lastColumn="0" w:oddVBand="0" w:evenVBand="0" w:oddHBand="0" w:evenHBand="0" w:firstRowFirstColumn="0" w:firstRowLastColumn="0" w:lastRowFirstColumn="0" w:lastRowLastColumn="0"/>
        </w:trPr>
        <w:tc>
          <w:tcPr>
            <w:tcW w:w="966" w:type="pct"/>
          </w:tcPr>
          <w:p w14:paraId="7EB8904A" w14:textId="77777777" w:rsidR="00AF1D72" w:rsidRPr="001B7F72" w:rsidRDefault="00AF1D72" w:rsidP="001B7F72">
            <w:pPr>
              <w:pStyle w:val="TableBodyText"/>
            </w:pPr>
            <w:r w:rsidRPr="001B7F72">
              <w:t>Amendment no.</w:t>
            </w:r>
          </w:p>
        </w:tc>
        <w:tc>
          <w:tcPr>
            <w:tcW w:w="2417" w:type="pct"/>
          </w:tcPr>
          <w:p w14:paraId="09845ABA" w14:textId="77777777" w:rsidR="00AF1D72" w:rsidRPr="001B7F72" w:rsidRDefault="00AF1D72" w:rsidP="001B7F72">
            <w:pPr>
              <w:pStyle w:val="TableBodyText"/>
            </w:pPr>
            <w:r w:rsidRPr="001B7F72">
              <w:t>Clauses amended</w:t>
            </w:r>
          </w:p>
        </w:tc>
        <w:tc>
          <w:tcPr>
            <w:tcW w:w="869" w:type="pct"/>
          </w:tcPr>
          <w:p w14:paraId="35993E27" w14:textId="77777777" w:rsidR="00AF1D72" w:rsidRPr="001B7F72" w:rsidRDefault="00AF1D72" w:rsidP="001B7F72">
            <w:pPr>
              <w:pStyle w:val="TableBodyText"/>
            </w:pPr>
            <w:r w:rsidRPr="001B7F72">
              <w:t>Action</w:t>
            </w:r>
          </w:p>
        </w:tc>
        <w:tc>
          <w:tcPr>
            <w:tcW w:w="748" w:type="pct"/>
          </w:tcPr>
          <w:p w14:paraId="52F23AEE" w14:textId="77777777" w:rsidR="00AF1D72" w:rsidRPr="001B7F72" w:rsidRDefault="00AF1D72" w:rsidP="001B7F72">
            <w:pPr>
              <w:pStyle w:val="TableBodyText"/>
            </w:pPr>
            <w:r w:rsidRPr="001B7F72">
              <w:t>Date</w:t>
            </w:r>
          </w:p>
        </w:tc>
      </w:tr>
      <w:tr w:rsidR="00AF1D72" w14:paraId="04352636" w14:textId="77777777" w:rsidTr="00CB02D0">
        <w:tc>
          <w:tcPr>
            <w:tcW w:w="966" w:type="pct"/>
          </w:tcPr>
          <w:p w14:paraId="6994222E" w14:textId="483314A6" w:rsidR="00AF1D72" w:rsidRPr="00B23DC4" w:rsidRDefault="00C668F6" w:rsidP="00B23DC4">
            <w:pPr>
              <w:pStyle w:val="TableBodyText"/>
              <w:rPr>
                <w:sz w:val="18"/>
                <w:szCs w:val="18"/>
              </w:rPr>
            </w:pPr>
            <w:r>
              <w:rPr>
                <w:sz w:val="18"/>
                <w:szCs w:val="18"/>
              </w:rPr>
              <w:t>-</w:t>
            </w:r>
          </w:p>
        </w:tc>
        <w:tc>
          <w:tcPr>
            <w:tcW w:w="2417" w:type="pct"/>
          </w:tcPr>
          <w:p w14:paraId="72F01B8B" w14:textId="26E15D64" w:rsidR="00AF1D72" w:rsidRPr="00B23DC4" w:rsidRDefault="00B23DC4" w:rsidP="00B23DC4">
            <w:pPr>
              <w:pStyle w:val="TableBodyText"/>
              <w:rPr>
                <w:sz w:val="18"/>
                <w:szCs w:val="18"/>
              </w:rPr>
            </w:pPr>
            <w:r w:rsidRPr="00B23DC4">
              <w:rPr>
                <w:sz w:val="18"/>
                <w:szCs w:val="18"/>
              </w:rPr>
              <w:t>New specification</w:t>
            </w:r>
          </w:p>
        </w:tc>
        <w:tc>
          <w:tcPr>
            <w:tcW w:w="869" w:type="pct"/>
          </w:tcPr>
          <w:p w14:paraId="005DA5BA" w14:textId="4C62EA11" w:rsidR="00AF1D72" w:rsidRPr="00B23DC4" w:rsidRDefault="00C668F6" w:rsidP="00B23DC4">
            <w:pPr>
              <w:pStyle w:val="TableBodyText"/>
              <w:rPr>
                <w:sz w:val="18"/>
                <w:szCs w:val="18"/>
              </w:rPr>
            </w:pPr>
            <w:r>
              <w:rPr>
                <w:sz w:val="18"/>
                <w:szCs w:val="18"/>
              </w:rPr>
              <w:t>New</w:t>
            </w:r>
          </w:p>
        </w:tc>
        <w:tc>
          <w:tcPr>
            <w:tcW w:w="748" w:type="pct"/>
          </w:tcPr>
          <w:p w14:paraId="23AB785C" w14:textId="3685A685" w:rsidR="00AF1D72" w:rsidRPr="00B23DC4" w:rsidRDefault="007D4887" w:rsidP="00B23DC4">
            <w:pPr>
              <w:pStyle w:val="TableBodyText"/>
              <w:rPr>
                <w:sz w:val="18"/>
                <w:szCs w:val="18"/>
              </w:rPr>
            </w:pPr>
            <w:r>
              <w:rPr>
                <w:sz w:val="18"/>
                <w:szCs w:val="18"/>
              </w:rPr>
              <w:t>June</w:t>
            </w:r>
            <w:r w:rsidR="00C668F6">
              <w:rPr>
                <w:sz w:val="18"/>
                <w:szCs w:val="18"/>
              </w:rPr>
              <w:t xml:space="preserve"> 2020</w:t>
            </w:r>
          </w:p>
        </w:tc>
      </w:tr>
      <w:tr w:rsidR="00AF1D72" w14:paraId="2517FC0B" w14:textId="77777777" w:rsidTr="00CB02D0">
        <w:tc>
          <w:tcPr>
            <w:tcW w:w="966" w:type="pct"/>
          </w:tcPr>
          <w:p w14:paraId="06079DBE" w14:textId="77777777" w:rsidR="00AF1D72" w:rsidRPr="00AF45E6" w:rsidRDefault="00AF1D72" w:rsidP="00AF1D72">
            <w:pPr>
              <w:pStyle w:val="TableFigureCenter"/>
            </w:pPr>
          </w:p>
        </w:tc>
        <w:tc>
          <w:tcPr>
            <w:tcW w:w="2417" w:type="pct"/>
          </w:tcPr>
          <w:p w14:paraId="6D3B375F" w14:textId="77777777" w:rsidR="00AF1D72" w:rsidRPr="00F6126C" w:rsidRDefault="00AF1D72" w:rsidP="00AF1D72">
            <w:pPr>
              <w:pStyle w:val="TableFigureLeft"/>
            </w:pPr>
          </w:p>
        </w:tc>
        <w:tc>
          <w:tcPr>
            <w:tcW w:w="869" w:type="pct"/>
          </w:tcPr>
          <w:p w14:paraId="13C81DF1" w14:textId="77777777" w:rsidR="00AF1D72" w:rsidRPr="008049FA" w:rsidRDefault="00AF1D72" w:rsidP="00AF1D72">
            <w:pPr>
              <w:pStyle w:val="TableFigureCenter"/>
            </w:pPr>
          </w:p>
        </w:tc>
        <w:tc>
          <w:tcPr>
            <w:tcW w:w="748" w:type="pct"/>
          </w:tcPr>
          <w:p w14:paraId="7F3165B6" w14:textId="77777777" w:rsidR="00AF1D72" w:rsidRPr="00AF45E6" w:rsidRDefault="00AF1D72" w:rsidP="00AF1D72">
            <w:pPr>
              <w:pStyle w:val="TableFigureCenter"/>
            </w:pPr>
          </w:p>
        </w:tc>
      </w:tr>
    </w:tbl>
    <w:p w14:paraId="5AA22917" w14:textId="77777777" w:rsidR="00AF1D72" w:rsidRDefault="00AF1D72" w:rsidP="00492F96">
      <w:pPr>
        <w:pStyle w:val="Paragraph"/>
        <w:numPr>
          <w:ilvl w:val="0"/>
          <w:numId w:val="10"/>
        </w:numPr>
      </w:pPr>
    </w:p>
    <w:tbl>
      <w:tblPr>
        <w:tblW w:w="0" w:type="auto"/>
        <w:tblLook w:val="01E0" w:firstRow="1" w:lastRow="1" w:firstColumn="1" w:lastColumn="1" w:noHBand="0" w:noVBand="0"/>
      </w:tblPr>
      <w:tblGrid>
        <w:gridCol w:w="1290"/>
        <w:gridCol w:w="8220"/>
      </w:tblGrid>
      <w:tr w:rsidR="00AF1D72" w14:paraId="34B36AD5" w14:textId="77777777" w:rsidTr="00AF1D72">
        <w:trPr>
          <w:trHeight w:val="427"/>
        </w:trPr>
        <w:tc>
          <w:tcPr>
            <w:tcW w:w="1101" w:type="dxa"/>
            <w:shd w:val="clear" w:color="auto" w:fill="auto"/>
          </w:tcPr>
          <w:p w14:paraId="1A0F4A13" w14:textId="77777777" w:rsidR="00AF1D72" w:rsidRPr="001B7F72" w:rsidRDefault="00AF1D72" w:rsidP="001B7F72">
            <w:pPr>
              <w:pStyle w:val="TableBodyText"/>
              <w:rPr>
                <w:b/>
                <w:bCs w:val="0"/>
                <w:sz w:val="16"/>
              </w:rPr>
            </w:pPr>
            <w:r w:rsidRPr="001B7F72">
              <w:rPr>
                <w:b/>
                <w:bCs w:val="0"/>
              </w:rPr>
              <w:t>Key</w:t>
            </w:r>
          </w:p>
        </w:tc>
        <w:tc>
          <w:tcPr>
            <w:tcW w:w="8680" w:type="dxa"/>
            <w:shd w:val="clear" w:color="auto" w:fill="auto"/>
          </w:tcPr>
          <w:p w14:paraId="579971E6" w14:textId="77777777" w:rsidR="00AF1D72" w:rsidRPr="0095718B" w:rsidRDefault="00AF1D72" w:rsidP="001B7F72">
            <w:pPr>
              <w:pStyle w:val="TableBodyText"/>
            </w:pPr>
          </w:p>
        </w:tc>
      </w:tr>
      <w:tr w:rsidR="00AF1D72" w14:paraId="2C27FD3C" w14:textId="77777777" w:rsidTr="00AF1D72">
        <w:tc>
          <w:tcPr>
            <w:tcW w:w="1101" w:type="dxa"/>
            <w:shd w:val="clear" w:color="auto" w:fill="auto"/>
          </w:tcPr>
          <w:p w14:paraId="621644E5" w14:textId="77777777" w:rsidR="00AF1D72" w:rsidRPr="00E6543E" w:rsidRDefault="00AF1D72" w:rsidP="001B7F72">
            <w:pPr>
              <w:pStyle w:val="TableBodyText"/>
            </w:pPr>
            <w:r w:rsidRPr="00E6543E">
              <w:t>Format</w:t>
            </w:r>
          </w:p>
        </w:tc>
        <w:tc>
          <w:tcPr>
            <w:tcW w:w="8680" w:type="dxa"/>
            <w:shd w:val="clear" w:color="auto" w:fill="auto"/>
          </w:tcPr>
          <w:p w14:paraId="0B5DE507" w14:textId="77777777" w:rsidR="00AF1D72" w:rsidRPr="00E6543E" w:rsidRDefault="00AF1D72" w:rsidP="001B7F72">
            <w:pPr>
              <w:pStyle w:val="TableBodyText"/>
            </w:pPr>
            <w:r w:rsidRPr="00E6543E">
              <w:t>Change in format</w:t>
            </w:r>
          </w:p>
        </w:tc>
      </w:tr>
      <w:tr w:rsidR="00AF1D72" w14:paraId="63F6E9BF" w14:textId="77777777" w:rsidTr="00AF1D72">
        <w:tc>
          <w:tcPr>
            <w:tcW w:w="1101" w:type="dxa"/>
            <w:shd w:val="clear" w:color="auto" w:fill="auto"/>
          </w:tcPr>
          <w:p w14:paraId="152AA969" w14:textId="77777777" w:rsidR="00AF1D72" w:rsidRPr="00E6543E" w:rsidRDefault="00AF1D72" w:rsidP="001B7F72">
            <w:pPr>
              <w:pStyle w:val="TableBodyText"/>
            </w:pPr>
            <w:r w:rsidRPr="00E6543E">
              <w:t>Substitution</w:t>
            </w:r>
          </w:p>
        </w:tc>
        <w:tc>
          <w:tcPr>
            <w:tcW w:w="8680" w:type="dxa"/>
            <w:shd w:val="clear" w:color="auto" w:fill="auto"/>
          </w:tcPr>
          <w:p w14:paraId="20B1E6FB" w14:textId="77777777" w:rsidR="00AF1D72" w:rsidRPr="00E6543E" w:rsidRDefault="00AF1D72" w:rsidP="001B7F72">
            <w:pPr>
              <w:pStyle w:val="TableBodyText"/>
            </w:pPr>
            <w:r w:rsidRPr="00E6543E">
              <w:t>Old clause removed and replaced with new clause</w:t>
            </w:r>
          </w:p>
        </w:tc>
      </w:tr>
      <w:tr w:rsidR="00AF1D72" w14:paraId="015CFAEA" w14:textId="77777777" w:rsidTr="00AF1D72">
        <w:tc>
          <w:tcPr>
            <w:tcW w:w="1101" w:type="dxa"/>
            <w:shd w:val="clear" w:color="auto" w:fill="auto"/>
          </w:tcPr>
          <w:p w14:paraId="127237EE" w14:textId="77777777" w:rsidR="00AF1D72" w:rsidRPr="00E6543E" w:rsidRDefault="00AF1D72" w:rsidP="001B7F72">
            <w:pPr>
              <w:pStyle w:val="TableBodyText"/>
            </w:pPr>
            <w:r w:rsidRPr="00E6543E">
              <w:t>New</w:t>
            </w:r>
          </w:p>
        </w:tc>
        <w:tc>
          <w:tcPr>
            <w:tcW w:w="8680" w:type="dxa"/>
            <w:shd w:val="clear" w:color="auto" w:fill="auto"/>
          </w:tcPr>
          <w:p w14:paraId="42D85C62" w14:textId="77777777" w:rsidR="00AF1D72" w:rsidRPr="00E6543E" w:rsidRDefault="00AF1D72" w:rsidP="001B7F72">
            <w:pPr>
              <w:pStyle w:val="TableBodyText"/>
            </w:pPr>
            <w:r w:rsidRPr="00E6543E">
              <w:t>Insertion of new clause</w:t>
            </w:r>
          </w:p>
        </w:tc>
      </w:tr>
      <w:tr w:rsidR="00AF1D72" w14:paraId="05A43914" w14:textId="77777777" w:rsidTr="00AF1D72">
        <w:tc>
          <w:tcPr>
            <w:tcW w:w="1101" w:type="dxa"/>
            <w:shd w:val="clear" w:color="auto" w:fill="auto"/>
          </w:tcPr>
          <w:p w14:paraId="67129848" w14:textId="77777777" w:rsidR="00AF1D72" w:rsidRPr="00E6543E" w:rsidRDefault="00AF1D72" w:rsidP="001B7F72">
            <w:pPr>
              <w:pStyle w:val="TableBodyText"/>
            </w:pPr>
            <w:r w:rsidRPr="00E6543E">
              <w:t>Removed</w:t>
            </w:r>
          </w:p>
        </w:tc>
        <w:tc>
          <w:tcPr>
            <w:tcW w:w="8680" w:type="dxa"/>
            <w:shd w:val="clear" w:color="auto" w:fill="auto"/>
          </w:tcPr>
          <w:p w14:paraId="4F68E19E" w14:textId="77777777" w:rsidR="00AF1D72" w:rsidRPr="00E6543E" w:rsidRDefault="00AF1D72" w:rsidP="001B7F72">
            <w:pPr>
              <w:pStyle w:val="TableBodyText"/>
            </w:pPr>
            <w:r w:rsidRPr="00E6543E">
              <w:t>Old clauses removed</w:t>
            </w:r>
          </w:p>
        </w:tc>
      </w:tr>
    </w:tbl>
    <w:p w14:paraId="2E7C9868" w14:textId="4B1BAE79" w:rsidR="002372EC" w:rsidRPr="00462624" w:rsidRDefault="002372EC" w:rsidP="00462624">
      <w:pPr>
        <w:pStyle w:val="Paragraph"/>
        <w:tabs>
          <w:tab w:val="clear" w:pos="1134"/>
        </w:tabs>
        <w:ind w:left="0" w:firstLine="0"/>
      </w:pPr>
    </w:p>
    <w:sectPr w:rsidR="002372EC" w:rsidRPr="00462624" w:rsidSect="00AE427D">
      <w:headerReference w:type="default" r:id="rId20"/>
      <w:footerReference w:type="even" r:id="rId21"/>
      <w:footerReference w:type="default" r:id="rId22"/>
      <w:headerReference w:type="first" r:id="rId23"/>
      <w:footerReference w:type="first" r:id="rId24"/>
      <w:pgSz w:w="11910" w:h="16850"/>
      <w:pgMar w:top="709" w:right="1420" w:bottom="1040" w:left="980" w:header="794"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0178" w14:textId="77777777" w:rsidR="00197FB2" w:rsidRDefault="00197FB2">
      <w:r>
        <w:separator/>
      </w:r>
    </w:p>
  </w:endnote>
  <w:endnote w:type="continuationSeparator" w:id="0">
    <w:p w14:paraId="103A06C7" w14:textId="77777777" w:rsidR="00197FB2" w:rsidRDefault="00197FB2">
      <w:r>
        <w:continuationSeparator/>
      </w:r>
    </w:p>
  </w:endnote>
  <w:endnote w:type="continuationNotice" w:id="1">
    <w:p w14:paraId="58099638" w14:textId="77777777" w:rsidR="00197FB2" w:rsidRDefault="00197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2B3" w14:textId="4F64FAEE" w:rsidR="00197FB2" w:rsidRDefault="00197FB2" w:rsidP="001E7290">
    <w:pPr>
      <w:pStyle w:val="Style6"/>
    </w:pPr>
    <w:r>
      <w:rPr>
        <w:noProof/>
      </w:rPr>
      <mc:AlternateContent>
        <mc:Choice Requires="wps">
          <w:drawing>
            <wp:anchor distT="0" distB="0" distL="114300" distR="114300" simplePos="0" relativeHeight="251656192" behindDoc="1" locked="0" layoutInCell="1" allowOverlap="1" wp14:anchorId="7FA9F319" wp14:editId="291CC2AC">
              <wp:simplePos x="0" y="0"/>
              <wp:positionH relativeFrom="page">
                <wp:posOffset>701040</wp:posOffset>
              </wp:positionH>
              <wp:positionV relativeFrom="page">
                <wp:posOffset>9986645</wp:posOffset>
              </wp:positionV>
              <wp:extent cx="5797550" cy="0"/>
              <wp:effectExtent l="5715" t="13970" r="698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A4A09"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86.35pt" to="511.7pt,7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" strokeweight=".48pt">
              <w10:wrap anchorx="page" anchory="page"/>
            </v:line>
          </w:pict>
        </mc:Fallback>
      </mc:AlternateContent>
    </w:r>
    <w:r>
      <w:rPr>
        <w:noProof/>
      </w:rPr>
      <mc:AlternateContent>
        <mc:Choice Requires="wps">
          <w:drawing>
            <wp:anchor distT="0" distB="0" distL="114300" distR="114300" simplePos="0" relativeHeight="251657216" behindDoc="1" locked="0" layoutInCell="1" allowOverlap="1" wp14:anchorId="7FA9F31A" wp14:editId="37CE5F11">
              <wp:simplePos x="0" y="0"/>
              <wp:positionH relativeFrom="page">
                <wp:posOffset>706755</wp:posOffset>
              </wp:positionH>
              <wp:positionV relativeFrom="page">
                <wp:posOffset>10030460</wp:posOffset>
              </wp:positionV>
              <wp:extent cx="153670" cy="165735"/>
              <wp:effectExtent l="1905"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A" w14:textId="77777777" w:rsidR="00197FB2" w:rsidRDefault="00197FB2">
                          <w:pPr>
                            <w:spacing w:before="10"/>
                            <w:ind w:left="20"/>
                            <w:rPr>
                              <w:sz w:val="20"/>
                            </w:rPr>
                          </w:pPr>
                          <w:r>
                            <w:rPr>
                              <w:sz w:val="20"/>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9F31A" id="_x0000_t202" coordsize="21600,21600" o:spt="202" path="m,l,21600r21600,l21600,xe">
              <v:stroke joinstyle="miter"/>
              <v:path gradientshapeok="t" o:connecttype="rect"/>
            </v:shapetype>
            <v:shape id="Text Box 2" o:spid="_x0000_s1026" type="#_x0000_t202" style="position:absolute;left:0;text-align:left;margin-left:55.65pt;margin-top:789.8pt;width:12.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" filled="f" stroked="f">
              <v:textbox inset="0,0,0,0">
                <w:txbxContent>
                  <w:p w14:paraId="7FA9F3DA" w14:textId="77777777" w:rsidR="00197FB2" w:rsidRDefault="00197FB2">
                    <w:pPr>
                      <w:spacing w:before="10"/>
                      <w:ind w:left="20"/>
                      <w:rPr>
                        <w:sz w:val="20"/>
                      </w:rPr>
                    </w:pPr>
                    <w:r>
                      <w:rPr>
                        <w:sz w:val="20"/>
                      </w:rPr>
                      <w:t>60</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FA9F31B" wp14:editId="64A1F620">
              <wp:simplePos x="0" y="0"/>
              <wp:positionH relativeFrom="page">
                <wp:posOffset>5831840</wp:posOffset>
              </wp:positionH>
              <wp:positionV relativeFrom="page">
                <wp:posOffset>10030460</wp:posOffset>
              </wp:positionV>
              <wp:extent cx="660400" cy="165735"/>
              <wp:effectExtent l="2540"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9F3DB" w14:textId="77777777" w:rsidR="00197FB2" w:rsidRDefault="00197FB2">
                          <w:pPr>
                            <w:spacing w:before="10"/>
                            <w:ind w:left="20"/>
                            <w:rPr>
                              <w:sz w:val="20"/>
                            </w:rPr>
                          </w:pPr>
                          <w:r>
                            <w:rPr>
                              <w:sz w:val="20"/>
                            </w:rPr>
                            <w:t>Ed 1 / Rev 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F31B" id="Text Box 1" o:spid="_x0000_s1027" type="#_x0000_t202" style="position:absolute;left:0;text-align:left;margin-left:459.2pt;margin-top:789.8pt;width:52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" filled="f" stroked="f">
              <v:textbox inset="0,0,0,0">
                <w:txbxContent>
                  <w:p w14:paraId="7FA9F3DB" w14:textId="77777777" w:rsidR="00197FB2" w:rsidRDefault="00197FB2">
                    <w:pPr>
                      <w:spacing w:before="10"/>
                      <w:ind w:left="20"/>
                      <w:rPr>
                        <w:sz w:val="20"/>
                      </w:rPr>
                    </w:pPr>
                    <w:r>
                      <w:rPr>
                        <w:sz w:val="20"/>
                      </w:rPr>
                      <w:t>Ed 1 / Rev 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5E90" w14:textId="1846B8C7" w:rsidR="00197FB2" w:rsidRDefault="00197FB2">
    <w:pPr>
      <w:pStyle w:val="Footer"/>
    </w:pPr>
  </w:p>
  <w:p w14:paraId="6C2B5812" w14:textId="31BCDBDC" w:rsidR="00197FB2" w:rsidRPr="005252CA" w:rsidRDefault="00197FB2" w:rsidP="005252CA">
    <w:pPr>
      <w:widowControl/>
      <w:pBdr>
        <w:top w:val="dotted" w:sz="4" w:space="1" w:color="auto"/>
      </w:pBdr>
      <w:tabs>
        <w:tab w:val="center" w:pos="4513"/>
        <w:tab w:val="right" w:pos="9026"/>
      </w:tabs>
      <w:autoSpaceDE/>
      <w:autoSpaceDN/>
      <w:jc w:val="right"/>
      <w:rPr>
        <w:rFonts w:ascii="Arial" w:eastAsia="SimSun" w:hAnsi="Arial" w:cs="Arial"/>
        <w:bCs/>
        <w:noProof/>
        <w:color w:val="6F7C87"/>
        <w:sz w:val="20"/>
        <w:lang w:eastAsia="ja-JP"/>
      </w:rPr>
    </w:pPr>
    <w:r>
      <w:rPr>
        <w:rFonts w:ascii="Arial" w:eastAsia="SimSun" w:hAnsi="Arial" w:cs="Arial"/>
        <w:b/>
        <w:sz w:val="16"/>
        <w:szCs w:val="16"/>
        <w:lang w:eastAsia="ja-JP"/>
      </w:rPr>
      <w:br/>
    </w:r>
    <w:r w:rsidRPr="005252CA">
      <w:rPr>
        <w:rFonts w:ascii="Arial" w:eastAsia="SimSun" w:hAnsi="Arial" w:cs="Arial"/>
        <w:bCs/>
        <w:sz w:val="16"/>
        <w:szCs w:val="16"/>
        <w:lang w:eastAsia="ja-JP"/>
      </w:rPr>
      <w:t xml:space="preserve">Edition 1.0 </w:t>
    </w:r>
    <w:r>
      <w:rPr>
        <w:rFonts w:ascii="Arial" w:eastAsia="SimSun" w:hAnsi="Arial" w:cs="Arial"/>
        <w:bCs/>
        <w:sz w:val="16"/>
        <w:szCs w:val="16"/>
        <w:lang w:eastAsia="ja-JP"/>
      </w:rPr>
      <w:t>June 2020</w:t>
    </w:r>
    <w:r w:rsidRPr="005252CA">
      <w:rPr>
        <w:rFonts w:ascii="Arial" w:eastAsia="SimSun" w:hAnsi="Arial" w:cs="Arial"/>
        <w:bCs/>
        <w:sz w:val="16"/>
        <w:szCs w:val="16"/>
        <w:lang w:eastAsia="ja-JP"/>
      </w:rPr>
      <w:t xml:space="preserve"> | page </w:t>
    </w:r>
    <w:r w:rsidRPr="005252CA">
      <w:rPr>
        <w:rFonts w:ascii="Arial" w:eastAsia="SimSun" w:hAnsi="Arial" w:cs="Arial"/>
        <w:bCs/>
        <w:sz w:val="16"/>
        <w:szCs w:val="16"/>
        <w:lang w:eastAsia="ja-JP"/>
      </w:rPr>
      <w:fldChar w:fldCharType="begin"/>
    </w:r>
    <w:r w:rsidRPr="005252CA">
      <w:rPr>
        <w:rFonts w:ascii="Arial" w:eastAsia="SimSun" w:hAnsi="Arial" w:cs="Arial"/>
        <w:bCs/>
        <w:sz w:val="16"/>
        <w:szCs w:val="16"/>
        <w:lang w:eastAsia="ja-JP"/>
      </w:rPr>
      <w:instrText xml:space="preserve"> PAGE   \* MERGEFORMAT </w:instrText>
    </w:r>
    <w:r w:rsidRPr="005252CA">
      <w:rPr>
        <w:rFonts w:ascii="Arial" w:eastAsia="SimSun" w:hAnsi="Arial" w:cs="Arial"/>
        <w:bCs/>
        <w:sz w:val="16"/>
        <w:szCs w:val="16"/>
        <w:lang w:eastAsia="ja-JP"/>
      </w:rPr>
      <w:fldChar w:fldCharType="separate"/>
    </w:r>
    <w:r w:rsidRPr="005252CA">
      <w:rPr>
        <w:rFonts w:ascii="Arial" w:eastAsia="SimSun" w:hAnsi="Arial" w:cs="Arial"/>
        <w:bCs/>
        <w:noProof/>
        <w:sz w:val="16"/>
        <w:szCs w:val="16"/>
        <w:lang w:eastAsia="ja-JP"/>
      </w:rPr>
      <w:t>7</w:t>
    </w:r>
    <w:r w:rsidRPr="005252CA">
      <w:rPr>
        <w:rFonts w:ascii="Arial" w:eastAsia="SimSun" w:hAnsi="Arial" w:cs="Arial"/>
        <w:bCs/>
        <w:noProof/>
        <w:sz w:val="16"/>
        <w:szCs w:val="16"/>
        <w:lang w:eastAsia="ja-JP"/>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1EE4" w14:textId="79F7048C" w:rsidR="00197FB2" w:rsidRDefault="00197FB2">
    <w:pPr>
      <w:pStyle w:val="Footer"/>
    </w:pPr>
  </w:p>
  <w:p w14:paraId="53E5821A" w14:textId="25B5DD19" w:rsidR="00197FB2" w:rsidRPr="004A7CAA" w:rsidRDefault="00197FB2" w:rsidP="003F7623">
    <w:pPr>
      <w:widowControl/>
      <w:pBdr>
        <w:top w:val="dotted" w:sz="4" w:space="1" w:color="auto"/>
      </w:pBdr>
      <w:tabs>
        <w:tab w:val="center" w:pos="4513"/>
        <w:tab w:val="right" w:pos="9026"/>
      </w:tabs>
      <w:autoSpaceDE/>
      <w:autoSpaceDN/>
      <w:jc w:val="right"/>
      <w:rPr>
        <w:rFonts w:ascii="Arial" w:eastAsia="SimSun" w:hAnsi="Arial" w:cs="Arial"/>
        <w:noProof/>
        <w:color w:val="6F7C87"/>
        <w:sz w:val="20"/>
        <w:lang w:eastAsia="ja-JP"/>
      </w:rPr>
    </w:pPr>
    <w:r>
      <w:rPr>
        <w:rFonts w:ascii="Arial" w:eastAsia="SimSun" w:hAnsi="Arial" w:cs="Arial"/>
        <w:color w:val="6F7C87"/>
        <w:sz w:val="16"/>
        <w:szCs w:val="16"/>
        <w:lang w:eastAsia="ja-JP"/>
      </w:rPr>
      <w:tab/>
    </w:r>
    <w:r>
      <w:rPr>
        <w:rFonts w:ascii="Arial" w:eastAsia="SimSun" w:hAnsi="Arial" w:cs="Arial"/>
        <w:color w:val="6F7C87"/>
        <w:sz w:val="16"/>
        <w:szCs w:val="16"/>
        <w:lang w:eastAsia="ja-JP"/>
      </w:rPr>
      <w:tab/>
    </w:r>
    <w:r>
      <w:rPr>
        <w:rFonts w:ascii="Arial" w:eastAsia="SimSun" w:hAnsi="Arial" w:cs="Arial"/>
        <w:color w:val="6F7C87"/>
        <w:sz w:val="16"/>
        <w:szCs w:val="16"/>
        <w:lang w:eastAsia="ja-JP"/>
      </w:rPr>
      <w:br/>
    </w:r>
    <w:r w:rsidRPr="005252CA">
      <w:rPr>
        <w:rFonts w:ascii="Arial" w:eastAsia="SimSun" w:hAnsi="Arial" w:cs="Arial"/>
        <w:bCs/>
        <w:sz w:val="16"/>
        <w:szCs w:val="16"/>
        <w:lang w:eastAsia="ja-JP"/>
      </w:rPr>
      <w:t xml:space="preserve">Edition 1.0 </w:t>
    </w:r>
    <w:r>
      <w:rPr>
        <w:rFonts w:ascii="Arial" w:eastAsia="SimSun" w:hAnsi="Arial" w:cs="Arial"/>
        <w:sz w:val="16"/>
        <w:szCs w:val="16"/>
        <w:lang w:eastAsia="ja-JP"/>
      </w:rPr>
      <w:t>June 2020</w:t>
    </w:r>
    <w:r w:rsidRPr="003F7623">
      <w:rPr>
        <w:rFonts w:ascii="Arial" w:eastAsia="SimSun" w:hAnsi="Arial" w:cs="Arial"/>
        <w:sz w:val="16"/>
        <w:szCs w:val="16"/>
        <w:lang w:eastAsia="ja-JP"/>
      </w:rPr>
      <w:t xml:space="preserve"> | page </w:t>
    </w:r>
    <w:r w:rsidRPr="003F7623">
      <w:rPr>
        <w:rFonts w:ascii="Arial" w:eastAsia="SimSun" w:hAnsi="Arial" w:cs="Arial"/>
        <w:sz w:val="16"/>
        <w:szCs w:val="16"/>
        <w:lang w:eastAsia="ja-JP"/>
      </w:rPr>
      <w:fldChar w:fldCharType="begin"/>
    </w:r>
    <w:r w:rsidRPr="003F7623">
      <w:rPr>
        <w:rFonts w:ascii="Arial" w:eastAsia="SimSun" w:hAnsi="Arial" w:cs="Arial"/>
        <w:sz w:val="16"/>
        <w:szCs w:val="16"/>
        <w:lang w:eastAsia="ja-JP"/>
      </w:rPr>
      <w:instrText xml:space="preserve"> PAGE   \* MERGEFORMAT </w:instrText>
    </w:r>
    <w:r w:rsidRPr="003F7623">
      <w:rPr>
        <w:rFonts w:ascii="Arial" w:eastAsia="SimSun" w:hAnsi="Arial" w:cs="Arial"/>
        <w:sz w:val="16"/>
        <w:szCs w:val="16"/>
        <w:lang w:eastAsia="ja-JP"/>
      </w:rPr>
      <w:fldChar w:fldCharType="separate"/>
    </w:r>
    <w:r w:rsidRPr="003F7623">
      <w:rPr>
        <w:rFonts w:ascii="Arial" w:eastAsia="SimSun" w:hAnsi="Arial" w:cs="Arial"/>
        <w:noProof/>
        <w:sz w:val="16"/>
        <w:szCs w:val="16"/>
        <w:lang w:eastAsia="ja-JP"/>
      </w:rPr>
      <w:t>1</w:t>
    </w:r>
    <w:r w:rsidRPr="003F7623">
      <w:rPr>
        <w:rFonts w:ascii="Arial" w:eastAsia="SimSun" w:hAnsi="Arial" w:cs="Arial"/>
        <w:noProof/>
        <w:sz w:val="16"/>
        <w:szCs w:val="16"/>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E275" w14:textId="77777777" w:rsidR="00197FB2" w:rsidRDefault="00197FB2">
      <w:r>
        <w:separator/>
      </w:r>
    </w:p>
  </w:footnote>
  <w:footnote w:type="continuationSeparator" w:id="0">
    <w:p w14:paraId="2D0483C2" w14:textId="77777777" w:rsidR="00197FB2" w:rsidRDefault="00197FB2">
      <w:r>
        <w:continuationSeparator/>
      </w:r>
    </w:p>
  </w:footnote>
  <w:footnote w:type="continuationNotice" w:id="1">
    <w:p w14:paraId="18EBD6A6" w14:textId="77777777" w:rsidR="00197FB2" w:rsidRDefault="00197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2B77" w14:textId="479F73F9" w:rsidR="00197FB2" w:rsidRPr="003F7623" w:rsidRDefault="00197FB2" w:rsidP="00372245">
    <w:pPr>
      <w:widowControl/>
      <w:pBdr>
        <w:bottom w:val="dotted" w:sz="4" w:space="1" w:color="auto"/>
      </w:pBdr>
      <w:tabs>
        <w:tab w:val="center" w:pos="4513"/>
        <w:tab w:val="right" w:pos="9026"/>
      </w:tabs>
      <w:autoSpaceDE/>
      <w:autoSpaceDN/>
      <w:jc w:val="right"/>
      <w:rPr>
        <w:rFonts w:ascii="Arial" w:eastAsia="SimSun" w:hAnsi="Arial" w:cs="Arial"/>
        <w:b/>
        <w:sz w:val="16"/>
        <w:szCs w:val="16"/>
        <w:lang w:eastAsia="ja-JP"/>
      </w:rPr>
    </w:pPr>
    <w:bookmarkStart w:id="116" w:name="_Hlk43385822"/>
    <w:r w:rsidRPr="003F7623">
      <w:rPr>
        <w:rFonts w:ascii="Arial" w:eastAsia="SimSun" w:hAnsi="Arial" w:cs="Arial"/>
        <w:b/>
        <w:sz w:val="16"/>
        <w:szCs w:val="16"/>
        <w:lang w:eastAsia="ja-JP"/>
      </w:rPr>
      <w:t xml:space="preserve">ATS </w:t>
    </w:r>
    <w:r>
      <w:rPr>
        <w:rFonts w:ascii="Arial" w:eastAsia="SimSun" w:hAnsi="Arial" w:cs="Arial"/>
        <w:b/>
        <w:sz w:val="16"/>
        <w:szCs w:val="16"/>
        <w:lang w:eastAsia="ja-JP"/>
      </w:rPr>
      <w:t>2230</w:t>
    </w:r>
    <w:r w:rsidRPr="003F7623">
      <w:rPr>
        <w:rFonts w:ascii="Arial" w:eastAsia="SimSun" w:hAnsi="Arial" w:cs="Arial"/>
        <w:b/>
        <w:sz w:val="16"/>
        <w:szCs w:val="16"/>
        <w:lang w:eastAsia="ja-JP"/>
      </w:rPr>
      <w:t xml:space="preserve"> </w:t>
    </w:r>
    <w:r>
      <w:rPr>
        <w:rFonts w:ascii="Arial" w:eastAsia="SimSun" w:hAnsi="Arial" w:cs="Arial"/>
        <w:b/>
        <w:sz w:val="16"/>
        <w:szCs w:val="16"/>
        <w:lang w:eastAsia="ja-JP"/>
      </w:rPr>
      <w:t>Supply of Small Box Culverts</w:t>
    </w:r>
  </w:p>
  <w:bookmarkEnd w:id="116"/>
  <w:p w14:paraId="10B238CB" w14:textId="77777777" w:rsidR="00197FB2" w:rsidRPr="00AE427D" w:rsidRDefault="00197FB2" w:rsidP="00372245">
    <w:pPr>
      <w:pStyle w:val="Header"/>
      <w:jc w:val="right"/>
      <w:rPr>
        <w:rFonts w:ascii="Arial" w:hAnsi="Arial" w:cs="Arial"/>
        <w:sz w:val="18"/>
        <w:szCs w:val="18"/>
      </w:rPr>
    </w:pPr>
  </w:p>
  <w:p w14:paraId="20397EF1" w14:textId="77777777" w:rsidR="00197FB2" w:rsidRPr="00AE427D" w:rsidRDefault="00197FB2" w:rsidP="00372245">
    <w:pPr>
      <w:pStyle w:val="Header"/>
      <w:jc w:val="right"/>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9544" w14:textId="0852E6B9" w:rsidR="00197FB2" w:rsidRDefault="00197FB2">
    <w:pPr>
      <w:pStyle w:val="Header"/>
    </w:pPr>
  </w:p>
  <w:p w14:paraId="53F80914" w14:textId="77777777" w:rsidR="00197FB2" w:rsidRDefault="0019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62B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561D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80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B218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0C7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8CF9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4AC8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472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16EC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10A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1087"/>
    <w:multiLevelType w:val="multilevel"/>
    <w:tmpl w:val="47DAC88A"/>
    <w:lvl w:ilvl="0">
      <w:start w:val="1"/>
      <w:numFmt w:val="bullet"/>
      <w:pStyle w:val="PubTableBullet1"/>
      <w:lvlText w:val=""/>
      <w:lvlJc w:val="left"/>
      <w:pPr>
        <w:ind w:left="340" w:hanging="340"/>
      </w:pPr>
      <w:rPr>
        <w:rFonts w:ascii="Symbol" w:hAnsi="Symbol" w:hint="default"/>
        <w:b w:val="0"/>
        <w:i w:val="0"/>
        <w:color w:val="6F7C87"/>
        <w:sz w:val="18"/>
      </w:rPr>
    </w:lvl>
    <w:lvl w:ilvl="1">
      <w:start w:val="1"/>
      <w:numFmt w:val="bullet"/>
      <w:pStyle w:val="TableBullet2"/>
      <w:lvlText w:val="-"/>
      <w:lvlJc w:val="left"/>
      <w:pPr>
        <w:ind w:left="680" w:hanging="340"/>
      </w:pPr>
      <w:rPr>
        <w:rFonts w:ascii="Arial" w:hAnsi="Arial" w:hint="default"/>
        <w:b w:val="0"/>
        <w:i w:val="0"/>
        <w:color w:val="auto"/>
        <w:sz w:val="18"/>
      </w:rPr>
    </w:lvl>
    <w:lvl w:ilvl="2">
      <w:start w:val="1"/>
      <w:numFmt w:val="bullet"/>
      <w:pStyle w:val="TableBullet3"/>
      <w:lvlText w:val="-"/>
      <w:lvlJc w:val="left"/>
      <w:pPr>
        <w:ind w:left="1020" w:hanging="340"/>
      </w:pPr>
      <w:rPr>
        <w:rFonts w:ascii="Arial" w:hAnsi="Arial" w:hint="default"/>
        <w:b w:val="0"/>
        <w:i w:val="0"/>
        <w:color w:val="auto"/>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1" w15:restartNumberingAfterBreak="0">
    <w:nsid w:val="027F7F66"/>
    <w:multiLevelType w:val="multilevel"/>
    <w:tmpl w:val="CC5EB1C2"/>
    <w:styleLink w:val="Style8"/>
    <w:lvl w:ilvl="0">
      <w:start w:val="1"/>
      <w:numFmt w:val="upperLetter"/>
      <w:lvlText w:val="Appendix %1"/>
      <w:lvlJc w:val="left"/>
      <w:pPr>
        <w:tabs>
          <w:tab w:val="num" w:pos="2835"/>
        </w:tabs>
        <w:ind w:left="2835" w:hanging="2835"/>
      </w:pPr>
      <w:rPr>
        <w:rFonts w:ascii="Arial Bold" w:hAnsi="Arial Bold" w:cs="Arial" w:hint="default"/>
        <w:b/>
        <w:bCs w:val="0"/>
        <w:i w:val="0"/>
        <w:iCs w:val="0"/>
        <w:caps w:val="0"/>
        <w:smallCaps w:val="0"/>
        <w:strike w:val="0"/>
        <w:dstrike w:val="0"/>
        <w:noProof w:val="0"/>
        <w:vanish w:val="0"/>
        <w:color w:val="FDB913"/>
        <w:spacing w:val="0"/>
        <w:w w:val="100"/>
        <w:kern w:val="0"/>
        <w:position w:val="0"/>
        <w:sz w:val="40"/>
        <w:u w:val="none"/>
        <w:effect w:val="none"/>
        <w:vertAlign w:val="baseline"/>
        <w:em w:val="none"/>
        <w:specVanish w:val="0"/>
      </w:rPr>
    </w:lvl>
    <w:lvl w:ilvl="1">
      <w:start w:val="1"/>
      <w:numFmt w:val="decimal"/>
      <w:lvlText w:val="%1.%2"/>
      <w:lvlJc w:val="left"/>
      <w:pPr>
        <w:tabs>
          <w:tab w:val="num" w:pos="851"/>
        </w:tabs>
        <w:ind w:left="851" w:hanging="851"/>
      </w:pPr>
      <w:rPr>
        <w:rFonts w:ascii="Arial" w:hAnsi="Arial" w:cs="Arial" w:hint="default"/>
      </w:rPr>
    </w:lvl>
    <w:lvl w:ilvl="2">
      <w:start w:val="1"/>
      <w:numFmt w:val="decimal"/>
      <w:lvlText w:val="%1.%2.%3"/>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33D58CA"/>
    <w:multiLevelType w:val="multilevel"/>
    <w:tmpl w:val="91EA66B8"/>
    <w:lvl w:ilvl="0">
      <w:start w:val="1"/>
      <w:numFmt w:val="none"/>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3"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9C01B1E"/>
    <w:multiLevelType w:val="hybridMultilevel"/>
    <w:tmpl w:val="DF50AEB0"/>
    <w:lvl w:ilvl="0" w:tplc="0C090017">
      <w:start w:val="1"/>
      <w:numFmt w:val="lowerLetter"/>
      <w:lvlText w:val="%1)"/>
      <w:lvlJc w:val="left"/>
      <w:pPr>
        <w:ind w:left="786"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09A616D"/>
    <w:multiLevelType w:val="hybridMultilevel"/>
    <w:tmpl w:val="2D324AB8"/>
    <w:lvl w:ilvl="0" w:tplc="D8502EA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7" w15:restartNumberingAfterBreak="0">
    <w:nsid w:val="230C4370"/>
    <w:multiLevelType w:val="hybridMultilevel"/>
    <w:tmpl w:val="E1D2D242"/>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8" w15:restartNumberingAfterBreak="0">
    <w:nsid w:val="23F46D89"/>
    <w:multiLevelType w:val="multilevel"/>
    <w:tmpl w:val="E2906688"/>
    <w:lvl w:ilvl="0">
      <w:start w:val="1"/>
      <w:numFmt w:val="lowerLetter"/>
      <w:pStyle w:val="Style12"/>
      <w:lvlText w:val="%1)"/>
      <w:lvlJc w:val="left"/>
      <w:pPr>
        <w:ind w:left="2976" w:hanging="567"/>
      </w:pPr>
      <w:rPr>
        <w:rFonts w:ascii="Arial" w:hAnsi="Arial" w:hint="default"/>
        <w:b w:val="0"/>
        <w:i w:val="0"/>
        <w:w w:val="100"/>
        <w:sz w:val="18"/>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19" w15:restartNumberingAfterBreak="0">
    <w:nsid w:val="247C51A8"/>
    <w:multiLevelType w:val="multilevel"/>
    <w:tmpl w:val="E4960832"/>
    <w:lvl w:ilvl="0">
      <w:start w:val="1"/>
      <w:numFmt w:val="decimal"/>
      <w:pStyle w:val="Notes"/>
      <w:lvlText w:val="%1."/>
      <w:lvlJc w:val="left"/>
      <w:pPr>
        <w:ind w:left="3828"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0" w15:restartNumberingAfterBreak="0">
    <w:nsid w:val="2767487E"/>
    <w:multiLevelType w:val="hybridMultilevel"/>
    <w:tmpl w:val="6A90B788"/>
    <w:lvl w:ilvl="0" w:tplc="946ECD6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1" w15:restartNumberingAfterBreak="0">
    <w:nsid w:val="29C410E9"/>
    <w:multiLevelType w:val="multilevel"/>
    <w:tmpl w:val="45F4FA74"/>
    <w:lvl w:ilvl="0">
      <w:start w:val="1"/>
      <w:numFmt w:val="none"/>
      <w:pStyle w:val="Subheading"/>
      <w:suff w:val="nothing"/>
      <w:lvlText w:val=""/>
      <w:lvlJc w:val="left"/>
      <w:pPr>
        <w:ind w:left="1134"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3."/>
      <w:lvlJc w:val="left"/>
      <w:pPr>
        <w:tabs>
          <w:tab w:val="num" w:pos="1134"/>
        </w:tabs>
        <w:ind w:left="1134" w:hanging="425"/>
      </w:pPr>
      <w:rPr>
        <w:rFonts w:hint="default"/>
        <w:b w:val="0"/>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2" w15:restartNumberingAfterBreak="0">
    <w:nsid w:val="2C1D133B"/>
    <w:multiLevelType w:val="hybridMultilevel"/>
    <w:tmpl w:val="6AAEFAA8"/>
    <w:lvl w:ilvl="0" w:tplc="0C090017">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3" w15:restartNumberingAfterBreak="0">
    <w:nsid w:val="2E5F1B9D"/>
    <w:multiLevelType w:val="multilevel"/>
    <w:tmpl w:val="4EB61BDA"/>
    <w:lvl w:ilvl="0">
      <w:start w:val="1"/>
      <w:numFmt w:val="lowerRoman"/>
      <w:pStyle w:val="Style9"/>
      <w:lvlText w:val="%1)"/>
      <w:lvlJc w:val="left"/>
      <w:pPr>
        <w:ind w:left="3075" w:hanging="567"/>
      </w:pPr>
      <w:rPr>
        <w:rFonts w:ascii="Arial" w:hAnsi="Arial" w:hint="default"/>
        <w:b w:val="0"/>
        <w:i w:val="0"/>
        <w:w w:val="100"/>
        <w:sz w:val="20"/>
        <w:szCs w:val="22"/>
      </w:rPr>
    </w:lvl>
    <w:lvl w:ilvl="1">
      <w:numFmt w:val="bullet"/>
      <w:lvlText w:val="•"/>
      <w:lvlJc w:val="left"/>
      <w:pPr>
        <w:ind w:left="3933" w:hanging="567"/>
      </w:pPr>
      <w:rPr>
        <w:rFonts w:hint="default"/>
      </w:rPr>
    </w:lvl>
    <w:lvl w:ilvl="2">
      <w:numFmt w:val="bullet"/>
      <w:lvlText w:val="•"/>
      <w:lvlJc w:val="left"/>
      <w:pPr>
        <w:ind w:left="4800" w:hanging="567"/>
      </w:pPr>
      <w:rPr>
        <w:rFonts w:hint="default"/>
      </w:rPr>
    </w:lvl>
    <w:lvl w:ilvl="3">
      <w:numFmt w:val="bullet"/>
      <w:lvlText w:val="•"/>
      <w:lvlJc w:val="left"/>
      <w:pPr>
        <w:ind w:left="5666" w:hanging="567"/>
      </w:pPr>
      <w:rPr>
        <w:rFonts w:hint="default"/>
      </w:rPr>
    </w:lvl>
    <w:lvl w:ilvl="4">
      <w:numFmt w:val="bullet"/>
      <w:lvlText w:val="•"/>
      <w:lvlJc w:val="left"/>
      <w:pPr>
        <w:ind w:left="6533" w:hanging="567"/>
      </w:pPr>
      <w:rPr>
        <w:rFonts w:hint="default"/>
      </w:rPr>
    </w:lvl>
    <w:lvl w:ilvl="5">
      <w:numFmt w:val="bullet"/>
      <w:lvlText w:val="•"/>
      <w:lvlJc w:val="left"/>
      <w:pPr>
        <w:ind w:left="7400" w:hanging="567"/>
      </w:pPr>
      <w:rPr>
        <w:rFonts w:hint="default"/>
      </w:rPr>
    </w:lvl>
    <w:lvl w:ilvl="6">
      <w:numFmt w:val="bullet"/>
      <w:lvlText w:val="•"/>
      <w:lvlJc w:val="left"/>
      <w:pPr>
        <w:ind w:left="8266" w:hanging="567"/>
      </w:pPr>
      <w:rPr>
        <w:rFonts w:hint="default"/>
      </w:rPr>
    </w:lvl>
    <w:lvl w:ilvl="7">
      <w:numFmt w:val="bullet"/>
      <w:lvlText w:val="•"/>
      <w:lvlJc w:val="left"/>
      <w:pPr>
        <w:ind w:left="9133" w:hanging="567"/>
      </w:pPr>
      <w:rPr>
        <w:rFonts w:hint="default"/>
      </w:rPr>
    </w:lvl>
    <w:lvl w:ilvl="8">
      <w:numFmt w:val="bullet"/>
      <w:lvlText w:val="•"/>
      <w:lvlJc w:val="left"/>
      <w:pPr>
        <w:ind w:left="10000" w:hanging="567"/>
      </w:pPr>
      <w:rPr>
        <w:rFonts w:hint="default"/>
      </w:rPr>
    </w:lvl>
  </w:abstractNum>
  <w:abstractNum w:abstractNumId="24" w15:restartNumberingAfterBreak="0">
    <w:nsid w:val="3561176C"/>
    <w:multiLevelType w:val="hybridMultilevel"/>
    <w:tmpl w:val="836C5EE2"/>
    <w:lvl w:ilvl="0" w:tplc="A2C61698">
      <w:start w:val="1"/>
      <w:numFmt w:val="decimal"/>
      <w:lvlRestart w:val="0"/>
      <w:pStyle w:val="TableFigureNotesList"/>
      <w:lvlText w:val="%1"/>
      <w:lvlJc w:val="left"/>
      <w:pPr>
        <w:tabs>
          <w:tab w:val="num" w:pos="283"/>
        </w:tabs>
        <w:ind w:left="283" w:hanging="283"/>
      </w:pPr>
      <w:rPr>
        <w:rFonts w:ascii="Arial Narrow" w:hAnsi="Arial Narrow" w:hint="default"/>
        <w:sz w:val="16"/>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15D490B"/>
    <w:multiLevelType w:val="multilevel"/>
    <w:tmpl w:val="B6521D96"/>
    <w:styleLink w:val="Style5"/>
    <w:lvl w:ilvl="0">
      <w:start w:val="1"/>
      <w:numFmt w:val="decimal"/>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26"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59619F"/>
    <w:multiLevelType w:val="hybridMultilevel"/>
    <w:tmpl w:val="4582F850"/>
    <w:lvl w:ilvl="0" w:tplc="F26A7648">
      <w:start w:val="9"/>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15:restartNumberingAfterBreak="0">
    <w:nsid w:val="4E67195F"/>
    <w:multiLevelType w:val="hybridMultilevel"/>
    <w:tmpl w:val="AFACCF60"/>
    <w:lvl w:ilvl="0" w:tplc="9072E52E">
      <w:start w:val="2"/>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517B1695"/>
    <w:multiLevelType w:val="hybridMultilevel"/>
    <w:tmpl w:val="E22085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8643D7"/>
    <w:multiLevelType w:val="hybridMultilevel"/>
    <w:tmpl w:val="AEFA3B24"/>
    <w:lvl w:ilvl="0" w:tplc="889C6C9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15:restartNumberingAfterBreak="0">
    <w:nsid w:val="5E455653"/>
    <w:multiLevelType w:val="multilevel"/>
    <w:tmpl w:val="472244EC"/>
    <w:lvl w:ilvl="0">
      <w:start w:val="1"/>
      <w:numFmt w:val="decimal"/>
      <w:pStyle w:val="Heading1"/>
      <w:lvlText w:val="%1."/>
      <w:lvlJc w:val="left"/>
      <w:pPr>
        <w:ind w:left="999"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6"/>
      <w:lvlText w:val="%1.%2"/>
      <w:lvlJc w:val="left"/>
      <w:pPr>
        <w:ind w:left="1002" w:hanging="576"/>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3422961"/>
    <w:multiLevelType w:val="multilevel"/>
    <w:tmpl w:val="B84CCA64"/>
    <w:lvl w:ilvl="0">
      <w:start w:val="1"/>
      <w:numFmt w:val="lowerLetter"/>
      <w:pStyle w:val="Style4"/>
      <w:lvlText w:val="%1)"/>
      <w:lvlJc w:val="left"/>
      <w:pPr>
        <w:ind w:left="2976" w:hanging="567"/>
      </w:pPr>
      <w:rPr>
        <w:rFonts w:ascii="Arial" w:hAnsi="Arial" w:hint="default"/>
        <w:b w:val="0"/>
        <w:i w:val="0"/>
        <w:w w:val="100"/>
        <w:sz w:val="20"/>
        <w:szCs w:val="22"/>
      </w:rPr>
    </w:lvl>
    <w:lvl w:ilvl="1">
      <w:numFmt w:val="bullet"/>
      <w:lvlText w:val="•"/>
      <w:lvlJc w:val="left"/>
      <w:pPr>
        <w:ind w:left="3834" w:hanging="567"/>
      </w:pPr>
      <w:rPr>
        <w:rFonts w:hint="default"/>
      </w:rPr>
    </w:lvl>
    <w:lvl w:ilvl="2">
      <w:numFmt w:val="bullet"/>
      <w:lvlText w:val="•"/>
      <w:lvlJc w:val="left"/>
      <w:pPr>
        <w:ind w:left="4701" w:hanging="567"/>
      </w:pPr>
      <w:rPr>
        <w:rFonts w:hint="default"/>
      </w:rPr>
    </w:lvl>
    <w:lvl w:ilvl="3">
      <w:numFmt w:val="bullet"/>
      <w:lvlText w:val="•"/>
      <w:lvlJc w:val="left"/>
      <w:pPr>
        <w:ind w:left="5567" w:hanging="567"/>
      </w:pPr>
      <w:rPr>
        <w:rFonts w:hint="default"/>
      </w:rPr>
    </w:lvl>
    <w:lvl w:ilvl="4">
      <w:numFmt w:val="bullet"/>
      <w:lvlText w:val="•"/>
      <w:lvlJc w:val="left"/>
      <w:pPr>
        <w:ind w:left="6434" w:hanging="567"/>
      </w:pPr>
      <w:rPr>
        <w:rFonts w:hint="default"/>
      </w:rPr>
    </w:lvl>
    <w:lvl w:ilvl="5">
      <w:numFmt w:val="bullet"/>
      <w:lvlText w:val="•"/>
      <w:lvlJc w:val="left"/>
      <w:pPr>
        <w:ind w:left="7301" w:hanging="567"/>
      </w:pPr>
      <w:rPr>
        <w:rFonts w:hint="default"/>
      </w:rPr>
    </w:lvl>
    <w:lvl w:ilvl="6">
      <w:numFmt w:val="bullet"/>
      <w:lvlText w:val="•"/>
      <w:lvlJc w:val="left"/>
      <w:pPr>
        <w:ind w:left="8167" w:hanging="567"/>
      </w:pPr>
      <w:rPr>
        <w:rFonts w:hint="default"/>
      </w:rPr>
    </w:lvl>
    <w:lvl w:ilvl="7">
      <w:numFmt w:val="bullet"/>
      <w:lvlText w:val="•"/>
      <w:lvlJc w:val="left"/>
      <w:pPr>
        <w:ind w:left="9034" w:hanging="567"/>
      </w:pPr>
      <w:rPr>
        <w:rFonts w:hint="default"/>
      </w:rPr>
    </w:lvl>
    <w:lvl w:ilvl="8">
      <w:numFmt w:val="bullet"/>
      <w:lvlText w:val="•"/>
      <w:lvlJc w:val="left"/>
      <w:pPr>
        <w:ind w:left="9901" w:hanging="567"/>
      </w:pPr>
      <w:rPr>
        <w:rFonts w:hint="default"/>
      </w:rPr>
    </w:lvl>
  </w:abstractNum>
  <w:abstractNum w:abstractNumId="33" w15:restartNumberingAfterBreak="0">
    <w:nsid w:val="63AF739B"/>
    <w:multiLevelType w:val="hybridMultilevel"/>
    <w:tmpl w:val="B290D8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890B93"/>
    <w:multiLevelType w:val="hybridMultilevel"/>
    <w:tmpl w:val="7DEAFDE0"/>
    <w:lvl w:ilvl="0" w:tplc="75BAD5E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5" w15:restartNumberingAfterBreak="0">
    <w:nsid w:val="70025376"/>
    <w:multiLevelType w:val="hybridMultilevel"/>
    <w:tmpl w:val="79D8CF40"/>
    <w:lvl w:ilvl="0" w:tplc="424268B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BE26D2"/>
    <w:multiLevelType w:val="hybridMultilevel"/>
    <w:tmpl w:val="8C7CF142"/>
    <w:lvl w:ilvl="0" w:tplc="60E840BA">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7" w15:restartNumberingAfterBreak="0">
    <w:nsid w:val="732812A6"/>
    <w:multiLevelType w:val="multilevel"/>
    <w:tmpl w:val="4BAC8940"/>
    <w:styleLink w:val="Style7"/>
    <w:lvl w:ilvl="0">
      <w:start w:val="1"/>
      <w:numFmt w:val="lowerLetter"/>
      <w:lvlText w:val="%1)"/>
      <w:lvlJc w:val="left"/>
      <w:pPr>
        <w:ind w:left="708" w:hanging="567"/>
      </w:pPr>
      <w:rPr>
        <w:rFonts w:hint="default"/>
        <w:w w:val="100"/>
        <w:sz w:val="22"/>
        <w:szCs w:val="22"/>
      </w:rPr>
    </w:lvl>
    <w:lvl w:ilvl="1">
      <w:numFmt w:val="bullet"/>
      <w:lvlText w:val="•"/>
      <w:lvlJc w:val="left"/>
      <w:pPr>
        <w:ind w:left="1566" w:hanging="567"/>
      </w:pPr>
      <w:rPr>
        <w:rFonts w:hint="default"/>
      </w:rPr>
    </w:lvl>
    <w:lvl w:ilvl="2">
      <w:numFmt w:val="bullet"/>
      <w:lvlText w:val="•"/>
      <w:lvlJc w:val="left"/>
      <w:pPr>
        <w:ind w:left="2433" w:hanging="567"/>
      </w:pPr>
      <w:rPr>
        <w:rFonts w:hint="default"/>
      </w:rPr>
    </w:lvl>
    <w:lvl w:ilvl="3">
      <w:numFmt w:val="bullet"/>
      <w:lvlText w:val="•"/>
      <w:lvlJc w:val="left"/>
      <w:pPr>
        <w:ind w:left="3299" w:hanging="567"/>
      </w:pPr>
      <w:rPr>
        <w:rFonts w:hint="default"/>
      </w:rPr>
    </w:lvl>
    <w:lvl w:ilvl="4">
      <w:numFmt w:val="bullet"/>
      <w:lvlText w:val="•"/>
      <w:lvlJc w:val="left"/>
      <w:pPr>
        <w:ind w:left="4166" w:hanging="567"/>
      </w:pPr>
      <w:rPr>
        <w:rFonts w:hint="default"/>
      </w:rPr>
    </w:lvl>
    <w:lvl w:ilvl="5">
      <w:numFmt w:val="bullet"/>
      <w:lvlText w:val="•"/>
      <w:lvlJc w:val="left"/>
      <w:pPr>
        <w:ind w:left="5033" w:hanging="567"/>
      </w:pPr>
      <w:rPr>
        <w:rFonts w:hint="default"/>
      </w:rPr>
    </w:lvl>
    <w:lvl w:ilvl="6">
      <w:numFmt w:val="bullet"/>
      <w:lvlText w:val="•"/>
      <w:lvlJc w:val="left"/>
      <w:pPr>
        <w:ind w:left="5899" w:hanging="567"/>
      </w:pPr>
      <w:rPr>
        <w:rFonts w:hint="default"/>
      </w:rPr>
    </w:lvl>
    <w:lvl w:ilvl="7">
      <w:numFmt w:val="bullet"/>
      <w:lvlText w:val="•"/>
      <w:lvlJc w:val="left"/>
      <w:pPr>
        <w:ind w:left="6766" w:hanging="567"/>
      </w:pPr>
      <w:rPr>
        <w:rFonts w:hint="default"/>
      </w:rPr>
    </w:lvl>
    <w:lvl w:ilvl="8">
      <w:numFmt w:val="bullet"/>
      <w:lvlText w:val="•"/>
      <w:lvlJc w:val="left"/>
      <w:pPr>
        <w:ind w:left="7633" w:hanging="567"/>
      </w:pPr>
      <w:rPr>
        <w:rFonts w:hint="default"/>
      </w:rPr>
    </w:lvl>
  </w:abstractNum>
  <w:abstractNum w:abstractNumId="38" w15:restartNumberingAfterBreak="0">
    <w:nsid w:val="75E535F4"/>
    <w:multiLevelType w:val="hybridMultilevel"/>
    <w:tmpl w:val="42E479CC"/>
    <w:lvl w:ilvl="0" w:tplc="1C32EF1C">
      <w:start w:val="1"/>
      <w:numFmt w:val="lowerRoman"/>
      <w:pStyle w:val="Bodynumbered3"/>
      <w:lvlText w:val="%1)"/>
      <w:lvlJc w:val="left"/>
      <w:pPr>
        <w:ind w:left="213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9"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40" w15:restartNumberingAfterBreak="0">
    <w:nsid w:val="795D4465"/>
    <w:multiLevelType w:val="hybridMultilevel"/>
    <w:tmpl w:val="B6521D96"/>
    <w:lvl w:ilvl="0" w:tplc="45C87EAE">
      <w:start w:val="1"/>
      <w:numFmt w:val="decimal"/>
      <w:pStyle w:val="Style3"/>
      <w:lvlText w:val="%1."/>
      <w:lvlJc w:val="left"/>
      <w:pPr>
        <w:ind w:left="708" w:hanging="567"/>
      </w:pPr>
      <w:rPr>
        <w:rFonts w:hint="default"/>
        <w:w w:val="100"/>
        <w:sz w:val="22"/>
        <w:szCs w:val="22"/>
      </w:rPr>
    </w:lvl>
    <w:lvl w:ilvl="1" w:tplc="EED87FA2">
      <w:numFmt w:val="bullet"/>
      <w:lvlText w:val="•"/>
      <w:lvlJc w:val="left"/>
      <w:pPr>
        <w:ind w:left="1566" w:hanging="567"/>
      </w:pPr>
      <w:rPr>
        <w:rFonts w:hint="default"/>
      </w:rPr>
    </w:lvl>
    <w:lvl w:ilvl="2" w:tplc="DB74A0EA">
      <w:numFmt w:val="bullet"/>
      <w:lvlText w:val="•"/>
      <w:lvlJc w:val="left"/>
      <w:pPr>
        <w:ind w:left="2433" w:hanging="567"/>
      </w:pPr>
      <w:rPr>
        <w:rFonts w:hint="default"/>
      </w:rPr>
    </w:lvl>
    <w:lvl w:ilvl="3" w:tplc="C2D02A40">
      <w:numFmt w:val="bullet"/>
      <w:lvlText w:val="•"/>
      <w:lvlJc w:val="left"/>
      <w:pPr>
        <w:ind w:left="3299" w:hanging="567"/>
      </w:pPr>
      <w:rPr>
        <w:rFonts w:hint="default"/>
      </w:rPr>
    </w:lvl>
    <w:lvl w:ilvl="4" w:tplc="64A8DFF0">
      <w:numFmt w:val="bullet"/>
      <w:lvlText w:val="•"/>
      <w:lvlJc w:val="left"/>
      <w:pPr>
        <w:ind w:left="4166" w:hanging="567"/>
      </w:pPr>
      <w:rPr>
        <w:rFonts w:hint="default"/>
      </w:rPr>
    </w:lvl>
    <w:lvl w:ilvl="5" w:tplc="942CD49E">
      <w:numFmt w:val="bullet"/>
      <w:lvlText w:val="•"/>
      <w:lvlJc w:val="left"/>
      <w:pPr>
        <w:ind w:left="5033" w:hanging="567"/>
      </w:pPr>
      <w:rPr>
        <w:rFonts w:hint="default"/>
      </w:rPr>
    </w:lvl>
    <w:lvl w:ilvl="6" w:tplc="6F00D4F0">
      <w:numFmt w:val="bullet"/>
      <w:lvlText w:val="•"/>
      <w:lvlJc w:val="left"/>
      <w:pPr>
        <w:ind w:left="5899" w:hanging="567"/>
      </w:pPr>
      <w:rPr>
        <w:rFonts w:hint="default"/>
      </w:rPr>
    </w:lvl>
    <w:lvl w:ilvl="7" w:tplc="73F60A88">
      <w:numFmt w:val="bullet"/>
      <w:lvlText w:val="•"/>
      <w:lvlJc w:val="left"/>
      <w:pPr>
        <w:ind w:left="6766" w:hanging="567"/>
      </w:pPr>
      <w:rPr>
        <w:rFonts w:hint="default"/>
      </w:rPr>
    </w:lvl>
    <w:lvl w:ilvl="8" w:tplc="4DA875F0">
      <w:numFmt w:val="bullet"/>
      <w:lvlText w:val="•"/>
      <w:lvlJc w:val="left"/>
      <w:pPr>
        <w:ind w:left="7633" w:hanging="567"/>
      </w:pPr>
      <w:rPr>
        <w:rFonts w:hint="default"/>
      </w:rPr>
    </w:lvl>
  </w:abstractNum>
  <w:abstractNum w:abstractNumId="41" w15:restartNumberingAfterBreak="0">
    <w:nsid w:val="7AD101E3"/>
    <w:multiLevelType w:val="hybridMultilevel"/>
    <w:tmpl w:val="6ACEE044"/>
    <w:lvl w:ilvl="0" w:tplc="49166638">
      <w:start w:val="1"/>
      <w:numFmt w:val="lowerLetter"/>
      <w:pStyle w:val="Bodynumbered2"/>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66" w:hanging="360"/>
      </w:pPr>
    </w:lvl>
    <w:lvl w:ilvl="2" w:tplc="CFB25FB6">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40"/>
  </w:num>
  <w:num w:numId="2">
    <w:abstractNumId w:val="25"/>
  </w:num>
  <w:num w:numId="3">
    <w:abstractNumId w:val="37"/>
  </w:num>
  <w:num w:numId="4">
    <w:abstractNumId w:val="21"/>
  </w:num>
  <w:num w:numId="5">
    <w:abstractNumId w:val="11"/>
  </w:num>
  <w:num w:numId="6">
    <w:abstractNumId w:val="35"/>
  </w:num>
  <w:num w:numId="7">
    <w:abstractNumId w:val="23"/>
  </w:num>
  <w:num w:numId="8">
    <w:abstractNumId w:val="32"/>
  </w:num>
  <w:num w:numId="9">
    <w:abstractNumId w:val="15"/>
  </w:num>
  <w:num w:numId="10">
    <w:abstractNumId w:val="12"/>
  </w:num>
  <w:num w:numId="11">
    <w:abstractNumId w:val="31"/>
  </w:num>
  <w:num w:numId="12">
    <w:abstractNumId w:val="39"/>
  </w:num>
  <w:num w:numId="13">
    <w:abstractNumId w:val="38"/>
  </w:num>
  <w:num w:numId="14">
    <w:abstractNumId w:val="19"/>
  </w:num>
  <w:num w:numId="15">
    <w:abstractNumId w:val="10"/>
  </w:num>
  <w:num w:numId="16">
    <w:abstractNumId w:val="13"/>
  </w:num>
  <w:num w:numId="17">
    <w:abstractNumId w:val="18"/>
  </w:num>
  <w:num w:numId="18">
    <w:abstractNumId w:val="24"/>
  </w:num>
  <w:num w:numId="19">
    <w:abstractNumId w:val="41"/>
  </w:num>
  <w:num w:numId="20">
    <w:abstractNumId w:val="26"/>
  </w:num>
  <w:num w:numId="21">
    <w:abstractNumId w:val="22"/>
    <w:lvlOverride w:ilvl="0">
      <w:startOverride w:val="1"/>
    </w:lvlOverride>
  </w:num>
  <w:num w:numId="22">
    <w:abstractNumId w:val="22"/>
    <w:lvlOverride w:ilvl="0">
      <w:startOverride w:val="1"/>
    </w:lvlOverride>
  </w:num>
  <w:num w:numId="23">
    <w:abstractNumId w:val="22"/>
  </w:num>
  <w:num w:numId="24">
    <w:abstractNumId w:val="38"/>
    <w:lvlOverride w:ilvl="0">
      <w:startOverride w:val="1"/>
    </w:lvlOverride>
  </w:num>
  <w:num w:numId="25">
    <w:abstractNumId w:val="38"/>
    <w:lvlOverride w:ilvl="0">
      <w:startOverride w:val="1"/>
    </w:lvlOverride>
  </w:num>
  <w:num w:numId="26">
    <w:abstractNumId w:val="41"/>
    <w:lvlOverride w:ilvl="0">
      <w:startOverride w:val="1"/>
    </w:lvlOverride>
  </w:num>
  <w:num w:numId="27">
    <w:abstractNumId w:val="22"/>
    <w:lvlOverride w:ilvl="0">
      <w:startOverride w:val="1"/>
    </w:lvlOverride>
  </w:num>
  <w:num w:numId="28">
    <w:abstractNumId w:val="17"/>
  </w:num>
  <w:num w:numId="29">
    <w:abstractNumId w:val="16"/>
  </w:num>
  <w:num w:numId="30">
    <w:abstractNumId w:val="20"/>
  </w:num>
  <w:num w:numId="31">
    <w:abstractNumId w:val="34"/>
  </w:num>
  <w:num w:numId="32">
    <w:abstractNumId w:val="14"/>
  </w:num>
  <w:num w:numId="33">
    <w:abstractNumId w:val="30"/>
  </w:num>
  <w:num w:numId="34">
    <w:abstractNumId w:val="36"/>
  </w:num>
  <w:num w:numId="35">
    <w:abstractNumId w:val="38"/>
    <w:lvlOverride w:ilvl="0">
      <w:startOverride w:val="3"/>
    </w:lvlOverride>
  </w:num>
  <w:num w:numId="36">
    <w:abstractNumId w:val="33"/>
  </w:num>
  <w:num w:numId="37">
    <w:abstractNumId w:val="29"/>
  </w:num>
  <w:num w:numId="38">
    <w:abstractNumId w:val="27"/>
  </w:num>
  <w:num w:numId="39">
    <w:abstractNumId w:val="2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4D"/>
    <w:rsid w:val="00002A7E"/>
    <w:rsid w:val="00003330"/>
    <w:rsid w:val="00006D2F"/>
    <w:rsid w:val="000074BA"/>
    <w:rsid w:val="00010315"/>
    <w:rsid w:val="00011356"/>
    <w:rsid w:val="000115DE"/>
    <w:rsid w:val="00012880"/>
    <w:rsid w:val="0001371F"/>
    <w:rsid w:val="0001456B"/>
    <w:rsid w:val="00017D92"/>
    <w:rsid w:val="00020B79"/>
    <w:rsid w:val="00020BB3"/>
    <w:rsid w:val="00025D9A"/>
    <w:rsid w:val="0003240C"/>
    <w:rsid w:val="00037DFF"/>
    <w:rsid w:val="00042467"/>
    <w:rsid w:val="00045CDF"/>
    <w:rsid w:val="00050542"/>
    <w:rsid w:val="000561B6"/>
    <w:rsid w:val="00057CE9"/>
    <w:rsid w:val="00062399"/>
    <w:rsid w:val="00063F76"/>
    <w:rsid w:val="00064F5A"/>
    <w:rsid w:val="00066FF7"/>
    <w:rsid w:val="00073A3D"/>
    <w:rsid w:val="00075012"/>
    <w:rsid w:val="000750A5"/>
    <w:rsid w:val="00077815"/>
    <w:rsid w:val="00080AB7"/>
    <w:rsid w:val="00082B1B"/>
    <w:rsid w:val="00083DD0"/>
    <w:rsid w:val="00085392"/>
    <w:rsid w:val="000900DB"/>
    <w:rsid w:val="00090BB5"/>
    <w:rsid w:val="000934BE"/>
    <w:rsid w:val="000940DD"/>
    <w:rsid w:val="00095B6D"/>
    <w:rsid w:val="000A4160"/>
    <w:rsid w:val="000A4BE4"/>
    <w:rsid w:val="000A51A0"/>
    <w:rsid w:val="000A5626"/>
    <w:rsid w:val="000A6357"/>
    <w:rsid w:val="000A7CAC"/>
    <w:rsid w:val="000B1E68"/>
    <w:rsid w:val="000B262B"/>
    <w:rsid w:val="000B2831"/>
    <w:rsid w:val="000B3CF1"/>
    <w:rsid w:val="000B5520"/>
    <w:rsid w:val="000C089A"/>
    <w:rsid w:val="000C1C06"/>
    <w:rsid w:val="000C4621"/>
    <w:rsid w:val="000D76D6"/>
    <w:rsid w:val="000D79CC"/>
    <w:rsid w:val="000E3FD7"/>
    <w:rsid w:val="000E508E"/>
    <w:rsid w:val="000E5A77"/>
    <w:rsid w:val="000E5E53"/>
    <w:rsid w:val="000E66B7"/>
    <w:rsid w:val="000E6E2F"/>
    <w:rsid w:val="000F09D1"/>
    <w:rsid w:val="000F1AB8"/>
    <w:rsid w:val="000F600D"/>
    <w:rsid w:val="000F633D"/>
    <w:rsid w:val="000F76C4"/>
    <w:rsid w:val="0010568B"/>
    <w:rsid w:val="001058EC"/>
    <w:rsid w:val="00106602"/>
    <w:rsid w:val="00106951"/>
    <w:rsid w:val="00107CDA"/>
    <w:rsid w:val="001119AB"/>
    <w:rsid w:val="0011467B"/>
    <w:rsid w:val="0011479C"/>
    <w:rsid w:val="00114D7E"/>
    <w:rsid w:val="00116F61"/>
    <w:rsid w:val="0011774C"/>
    <w:rsid w:val="001216A8"/>
    <w:rsid w:val="00121877"/>
    <w:rsid w:val="00121FED"/>
    <w:rsid w:val="0012515A"/>
    <w:rsid w:val="00125972"/>
    <w:rsid w:val="00126E9F"/>
    <w:rsid w:val="001344CC"/>
    <w:rsid w:val="00136BB5"/>
    <w:rsid w:val="00140C1C"/>
    <w:rsid w:val="0014109A"/>
    <w:rsid w:val="00144616"/>
    <w:rsid w:val="00145118"/>
    <w:rsid w:val="0014592C"/>
    <w:rsid w:val="00146B24"/>
    <w:rsid w:val="001474AB"/>
    <w:rsid w:val="00147797"/>
    <w:rsid w:val="0015061F"/>
    <w:rsid w:val="00151296"/>
    <w:rsid w:val="00151CD8"/>
    <w:rsid w:val="00151D07"/>
    <w:rsid w:val="00153550"/>
    <w:rsid w:val="001538F3"/>
    <w:rsid w:val="00155A1F"/>
    <w:rsid w:val="00163BA1"/>
    <w:rsid w:val="0016403A"/>
    <w:rsid w:val="00167824"/>
    <w:rsid w:val="00170376"/>
    <w:rsid w:val="00174BC5"/>
    <w:rsid w:val="00176137"/>
    <w:rsid w:val="00176931"/>
    <w:rsid w:val="0017727E"/>
    <w:rsid w:val="0018067B"/>
    <w:rsid w:val="001852C3"/>
    <w:rsid w:val="001872B3"/>
    <w:rsid w:val="00191F45"/>
    <w:rsid w:val="00193DE3"/>
    <w:rsid w:val="00193ECF"/>
    <w:rsid w:val="001970AC"/>
    <w:rsid w:val="00197FB2"/>
    <w:rsid w:val="001A2692"/>
    <w:rsid w:val="001A2BE5"/>
    <w:rsid w:val="001A3BE4"/>
    <w:rsid w:val="001A3C09"/>
    <w:rsid w:val="001A5DF5"/>
    <w:rsid w:val="001A6E99"/>
    <w:rsid w:val="001B0059"/>
    <w:rsid w:val="001B0E77"/>
    <w:rsid w:val="001B1016"/>
    <w:rsid w:val="001B45FD"/>
    <w:rsid w:val="001B7F72"/>
    <w:rsid w:val="001C2754"/>
    <w:rsid w:val="001C3AF9"/>
    <w:rsid w:val="001C5350"/>
    <w:rsid w:val="001C7621"/>
    <w:rsid w:val="001D0B84"/>
    <w:rsid w:val="001E7290"/>
    <w:rsid w:val="001F1124"/>
    <w:rsid w:val="001F256F"/>
    <w:rsid w:val="001F44D9"/>
    <w:rsid w:val="001F5DD4"/>
    <w:rsid w:val="00202253"/>
    <w:rsid w:val="002034F5"/>
    <w:rsid w:val="00205A11"/>
    <w:rsid w:val="0020725E"/>
    <w:rsid w:val="00211052"/>
    <w:rsid w:val="002118F2"/>
    <w:rsid w:val="0022279F"/>
    <w:rsid w:val="002364A3"/>
    <w:rsid w:val="002372EC"/>
    <w:rsid w:val="002423B2"/>
    <w:rsid w:val="00245CF3"/>
    <w:rsid w:val="002616C5"/>
    <w:rsid w:val="00264B4E"/>
    <w:rsid w:val="002652B9"/>
    <w:rsid w:val="002654CE"/>
    <w:rsid w:val="00265C46"/>
    <w:rsid w:val="00265E28"/>
    <w:rsid w:val="00272EF7"/>
    <w:rsid w:val="0027453C"/>
    <w:rsid w:val="0028284E"/>
    <w:rsid w:val="00282B2D"/>
    <w:rsid w:val="002852C2"/>
    <w:rsid w:val="00292D3B"/>
    <w:rsid w:val="002A01BE"/>
    <w:rsid w:val="002A03F6"/>
    <w:rsid w:val="002A13EF"/>
    <w:rsid w:val="002A1D93"/>
    <w:rsid w:val="002A5934"/>
    <w:rsid w:val="002A5FE2"/>
    <w:rsid w:val="002B1188"/>
    <w:rsid w:val="002B1BEB"/>
    <w:rsid w:val="002B3553"/>
    <w:rsid w:val="002B4A84"/>
    <w:rsid w:val="002C13AF"/>
    <w:rsid w:val="002C3A6D"/>
    <w:rsid w:val="002C46FD"/>
    <w:rsid w:val="002C5250"/>
    <w:rsid w:val="002C74E9"/>
    <w:rsid w:val="002D09CA"/>
    <w:rsid w:val="002D17E9"/>
    <w:rsid w:val="002D1BA4"/>
    <w:rsid w:val="002D38E3"/>
    <w:rsid w:val="002D6C9F"/>
    <w:rsid w:val="002E4E55"/>
    <w:rsid w:val="002E5D4C"/>
    <w:rsid w:val="002E643F"/>
    <w:rsid w:val="002E7870"/>
    <w:rsid w:val="002E7CDE"/>
    <w:rsid w:val="002F0386"/>
    <w:rsid w:val="002F2D3C"/>
    <w:rsid w:val="002F4AA6"/>
    <w:rsid w:val="002F6570"/>
    <w:rsid w:val="00300679"/>
    <w:rsid w:val="00301089"/>
    <w:rsid w:val="00302829"/>
    <w:rsid w:val="00303261"/>
    <w:rsid w:val="00303332"/>
    <w:rsid w:val="00303A16"/>
    <w:rsid w:val="003072DE"/>
    <w:rsid w:val="00310369"/>
    <w:rsid w:val="003173C9"/>
    <w:rsid w:val="00321170"/>
    <w:rsid w:val="003215D5"/>
    <w:rsid w:val="00323181"/>
    <w:rsid w:val="003244CB"/>
    <w:rsid w:val="00333742"/>
    <w:rsid w:val="00333FDE"/>
    <w:rsid w:val="00335811"/>
    <w:rsid w:val="00335CFE"/>
    <w:rsid w:val="0034353E"/>
    <w:rsid w:val="003447F6"/>
    <w:rsid w:val="00356525"/>
    <w:rsid w:val="0036499C"/>
    <w:rsid w:val="00364DE9"/>
    <w:rsid w:val="0037122F"/>
    <w:rsid w:val="00372245"/>
    <w:rsid w:val="00372FE5"/>
    <w:rsid w:val="003753A4"/>
    <w:rsid w:val="00376104"/>
    <w:rsid w:val="0037692B"/>
    <w:rsid w:val="003772BF"/>
    <w:rsid w:val="003825DE"/>
    <w:rsid w:val="003828D4"/>
    <w:rsid w:val="00382D26"/>
    <w:rsid w:val="00383EA0"/>
    <w:rsid w:val="003851D2"/>
    <w:rsid w:val="003859D0"/>
    <w:rsid w:val="00387A4A"/>
    <w:rsid w:val="00393EDA"/>
    <w:rsid w:val="00396510"/>
    <w:rsid w:val="003A1F38"/>
    <w:rsid w:val="003A36BB"/>
    <w:rsid w:val="003B4784"/>
    <w:rsid w:val="003B51CD"/>
    <w:rsid w:val="003B76B8"/>
    <w:rsid w:val="003B7DCB"/>
    <w:rsid w:val="003C5CDA"/>
    <w:rsid w:val="003D2A92"/>
    <w:rsid w:val="003D30B9"/>
    <w:rsid w:val="003D7B9E"/>
    <w:rsid w:val="003E0011"/>
    <w:rsid w:val="003E0DCC"/>
    <w:rsid w:val="003E1278"/>
    <w:rsid w:val="003E1EC5"/>
    <w:rsid w:val="003E292B"/>
    <w:rsid w:val="003E31BA"/>
    <w:rsid w:val="003E7B6B"/>
    <w:rsid w:val="003F2CC2"/>
    <w:rsid w:val="003F3BBE"/>
    <w:rsid w:val="003F4149"/>
    <w:rsid w:val="003F4501"/>
    <w:rsid w:val="003F7623"/>
    <w:rsid w:val="003F7CD0"/>
    <w:rsid w:val="00400F6C"/>
    <w:rsid w:val="004014BB"/>
    <w:rsid w:val="00401B70"/>
    <w:rsid w:val="00401E9A"/>
    <w:rsid w:val="00402097"/>
    <w:rsid w:val="00402E39"/>
    <w:rsid w:val="004039E5"/>
    <w:rsid w:val="004079E4"/>
    <w:rsid w:val="00407BC8"/>
    <w:rsid w:val="0041075A"/>
    <w:rsid w:val="00411FBE"/>
    <w:rsid w:val="0041743B"/>
    <w:rsid w:val="004237A6"/>
    <w:rsid w:val="00426C2C"/>
    <w:rsid w:val="004330D7"/>
    <w:rsid w:val="00435EDE"/>
    <w:rsid w:val="0043661F"/>
    <w:rsid w:val="00437C48"/>
    <w:rsid w:val="0044402B"/>
    <w:rsid w:val="00450C88"/>
    <w:rsid w:val="00450F14"/>
    <w:rsid w:val="00453734"/>
    <w:rsid w:val="004555A0"/>
    <w:rsid w:val="004561B8"/>
    <w:rsid w:val="00456BAA"/>
    <w:rsid w:val="00461A2B"/>
    <w:rsid w:val="00462624"/>
    <w:rsid w:val="0046275D"/>
    <w:rsid w:val="00471AF6"/>
    <w:rsid w:val="0047210C"/>
    <w:rsid w:val="00474FD4"/>
    <w:rsid w:val="0048264D"/>
    <w:rsid w:val="004845D9"/>
    <w:rsid w:val="00485544"/>
    <w:rsid w:val="00485E41"/>
    <w:rsid w:val="004860D5"/>
    <w:rsid w:val="004868FA"/>
    <w:rsid w:val="004905F8"/>
    <w:rsid w:val="00492622"/>
    <w:rsid w:val="00492F96"/>
    <w:rsid w:val="00495509"/>
    <w:rsid w:val="00496983"/>
    <w:rsid w:val="00496A7E"/>
    <w:rsid w:val="00496EE6"/>
    <w:rsid w:val="004973A9"/>
    <w:rsid w:val="004A2083"/>
    <w:rsid w:val="004A2379"/>
    <w:rsid w:val="004A480C"/>
    <w:rsid w:val="004A7182"/>
    <w:rsid w:val="004A7A22"/>
    <w:rsid w:val="004A7CAA"/>
    <w:rsid w:val="004B10CB"/>
    <w:rsid w:val="004B213E"/>
    <w:rsid w:val="004B2367"/>
    <w:rsid w:val="004B3AA9"/>
    <w:rsid w:val="004B3ACF"/>
    <w:rsid w:val="004B629B"/>
    <w:rsid w:val="004C0A60"/>
    <w:rsid w:val="004C0DEA"/>
    <w:rsid w:val="004C3B9E"/>
    <w:rsid w:val="004C50CF"/>
    <w:rsid w:val="004E0C55"/>
    <w:rsid w:val="004E2059"/>
    <w:rsid w:val="004E293C"/>
    <w:rsid w:val="004E4E46"/>
    <w:rsid w:val="004E6471"/>
    <w:rsid w:val="004F200B"/>
    <w:rsid w:val="004F2C7D"/>
    <w:rsid w:val="004F39EE"/>
    <w:rsid w:val="004F3C82"/>
    <w:rsid w:val="004F48F2"/>
    <w:rsid w:val="004F5D92"/>
    <w:rsid w:val="00501BD1"/>
    <w:rsid w:val="00502381"/>
    <w:rsid w:val="005060D1"/>
    <w:rsid w:val="00510256"/>
    <w:rsid w:val="005113F9"/>
    <w:rsid w:val="00514D64"/>
    <w:rsid w:val="0051540A"/>
    <w:rsid w:val="005154B9"/>
    <w:rsid w:val="00517C2B"/>
    <w:rsid w:val="0052098C"/>
    <w:rsid w:val="00522C55"/>
    <w:rsid w:val="005230B1"/>
    <w:rsid w:val="005252CA"/>
    <w:rsid w:val="00526E2C"/>
    <w:rsid w:val="00526F85"/>
    <w:rsid w:val="005366E4"/>
    <w:rsid w:val="00537A89"/>
    <w:rsid w:val="00540242"/>
    <w:rsid w:val="00540A85"/>
    <w:rsid w:val="00541015"/>
    <w:rsid w:val="005417E9"/>
    <w:rsid w:val="00543EF6"/>
    <w:rsid w:val="00545DF6"/>
    <w:rsid w:val="005468C4"/>
    <w:rsid w:val="00546A4D"/>
    <w:rsid w:val="00546A7E"/>
    <w:rsid w:val="00547389"/>
    <w:rsid w:val="00554DAF"/>
    <w:rsid w:val="00556793"/>
    <w:rsid w:val="00557601"/>
    <w:rsid w:val="00560D94"/>
    <w:rsid w:val="0056195E"/>
    <w:rsid w:val="00563984"/>
    <w:rsid w:val="00564CBD"/>
    <w:rsid w:val="00565DFA"/>
    <w:rsid w:val="005675C1"/>
    <w:rsid w:val="005739C7"/>
    <w:rsid w:val="00575444"/>
    <w:rsid w:val="005764D1"/>
    <w:rsid w:val="00580551"/>
    <w:rsid w:val="00582820"/>
    <w:rsid w:val="0058543E"/>
    <w:rsid w:val="00586E7A"/>
    <w:rsid w:val="0059043A"/>
    <w:rsid w:val="00592A38"/>
    <w:rsid w:val="005935AE"/>
    <w:rsid w:val="00597374"/>
    <w:rsid w:val="005A1104"/>
    <w:rsid w:val="005A3D67"/>
    <w:rsid w:val="005A3DFC"/>
    <w:rsid w:val="005A3EEA"/>
    <w:rsid w:val="005A70E2"/>
    <w:rsid w:val="005A72AE"/>
    <w:rsid w:val="005B20A5"/>
    <w:rsid w:val="005B3CEF"/>
    <w:rsid w:val="005B4D72"/>
    <w:rsid w:val="005B4DF1"/>
    <w:rsid w:val="005B59EE"/>
    <w:rsid w:val="005B67EA"/>
    <w:rsid w:val="005C0086"/>
    <w:rsid w:val="005C0923"/>
    <w:rsid w:val="005C1D9E"/>
    <w:rsid w:val="005C24F8"/>
    <w:rsid w:val="005C732A"/>
    <w:rsid w:val="005D2099"/>
    <w:rsid w:val="005D26A2"/>
    <w:rsid w:val="005D6266"/>
    <w:rsid w:val="005D7851"/>
    <w:rsid w:val="005F034C"/>
    <w:rsid w:val="005F2F98"/>
    <w:rsid w:val="005F76FF"/>
    <w:rsid w:val="00601022"/>
    <w:rsid w:val="00601E10"/>
    <w:rsid w:val="00602587"/>
    <w:rsid w:val="00602A13"/>
    <w:rsid w:val="0060703A"/>
    <w:rsid w:val="006072FF"/>
    <w:rsid w:val="0061151F"/>
    <w:rsid w:val="00612591"/>
    <w:rsid w:val="0061511A"/>
    <w:rsid w:val="0061717F"/>
    <w:rsid w:val="00620A30"/>
    <w:rsid w:val="006226ED"/>
    <w:rsid w:val="00622B75"/>
    <w:rsid w:val="00624966"/>
    <w:rsid w:val="006258D4"/>
    <w:rsid w:val="00627CFE"/>
    <w:rsid w:val="00627FA4"/>
    <w:rsid w:val="0063130E"/>
    <w:rsid w:val="00632C58"/>
    <w:rsid w:val="006340D1"/>
    <w:rsid w:val="006364DC"/>
    <w:rsid w:val="00636B1E"/>
    <w:rsid w:val="00637261"/>
    <w:rsid w:val="00637A34"/>
    <w:rsid w:val="0064731F"/>
    <w:rsid w:val="0065153A"/>
    <w:rsid w:val="006627ED"/>
    <w:rsid w:val="00662EAC"/>
    <w:rsid w:val="0066351C"/>
    <w:rsid w:val="006653CE"/>
    <w:rsid w:val="006706B6"/>
    <w:rsid w:val="006708E9"/>
    <w:rsid w:val="006733A2"/>
    <w:rsid w:val="0067345E"/>
    <w:rsid w:val="00676D46"/>
    <w:rsid w:val="0067705E"/>
    <w:rsid w:val="0067737B"/>
    <w:rsid w:val="006776C5"/>
    <w:rsid w:val="00680436"/>
    <w:rsid w:val="006830DD"/>
    <w:rsid w:val="00692658"/>
    <w:rsid w:val="006A3505"/>
    <w:rsid w:val="006A4A97"/>
    <w:rsid w:val="006A4C68"/>
    <w:rsid w:val="006A6DF3"/>
    <w:rsid w:val="006A7BE0"/>
    <w:rsid w:val="006B49B7"/>
    <w:rsid w:val="006B6F9C"/>
    <w:rsid w:val="006C183A"/>
    <w:rsid w:val="006C3B3F"/>
    <w:rsid w:val="006C497B"/>
    <w:rsid w:val="006C55D5"/>
    <w:rsid w:val="006C5BE9"/>
    <w:rsid w:val="006C66E9"/>
    <w:rsid w:val="006C77EE"/>
    <w:rsid w:val="006D0CD8"/>
    <w:rsid w:val="006D487B"/>
    <w:rsid w:val="006D4A3B"/>
    <w:rsid w:val="006D6F11"/>
    <w:rsid w:val="006E17EB"/>
    <w:rsid w:val="006E2495"/>
    <w:rsid w:val="006E2B0F"/>
    <w:rsid w:val="006E4368"/>
    <w:rsid w:val="006E5888"/>
    <w:rsid w:val="006E6067"/>
    <w:rsid w:val="006E71F2"/>
    <w:rsid w:val="006F78DA"/>
    <w:rsid w:val="00700A13"/>
    <w:rsid w:val="00703242"/>
    <w:rsid w:val="00704FB2"/>
    <w:rsid w:val="00706D3A"/>
    <w:rsid w:val="00706D9C"/>
    <w:rsid w:val="007130DF"/>
    <w:rsid w:val="00714595"/>
    <w:rsid w:val="00715F90"/>
    <w:rsid w:val="00716130"/>
    <w:rsid w:val="00722D93"/>
    <w:rsid w:val="007261D3"/>
    <w:rsid w:val="00733163"/>
    <w:rsid w:val="0073440A"/>
    <w:rsid w:val="00736509"/>
    <w:rsid w:val="00740269"/>
    <w:rsid w:val="00741372"/>
    <w:rsid w:val="00741C11"/>
    <w:rsid w:val="0074545A"/>
    <w:rsid w:val="007501E1"/>
    <w:rsid w:val="00751F63"/>
    <w:rsid w:val="00752524"/>
    <w:rsid w:val="007576FC"/>
    <w:rsid w:val="00760A37"/>
    <w:rsid w:val="00760D5D"/>
    <w:rsid w:val="00761330"/>
    <w:rsid w:val="00765197"/>
    <w:rsid w:val="0076643A"/>
    <w:rsid w:val="00770ACC"/>
    <w:rsid w:val="00771612"/>
    <w:rsid w:val="00773BD5"/>
    <w:rsid w:val="007750D1"/>
    <w:rsid w:val="007753C2"/>
    <w:rsid w:val="00776284"/>
    <w:rsid w:val="00776E79"/>
    <w:rsid w:val="00781035"/>
    <w:rsid w:val="007828D9"/>
    <w:rsid w:val="00783F83"/>
    <w:rsid w:val="00787F76"/>
    <w:rsid w:val="007904F3"/>
    <w:rsid w:val="00792D9C"/>
    <w:rsid w:val="00795981"/>
    <w:rsid w:val="00795BF2"/>
    <w:rsid w:val="007A1E2F"/>
    <w:rsid w:val="007A37FA"/>
    <w:rsid w:val="007B18F2"/>
    <w:rsid w:val="007B4B5C"/>
    <w:rsid w:val="007C2D09"/>
    <w:rsid w:val="007C4230"/>
    <w:rsid w:val="007C5DC9"/>
    <w:rsid w:val="007D0410"/>
    <w:rsid w:val="007D3448"/>
    <w:rsid w:val="007D4887"/>
    <w:rsid w:val="007D5E65"/>
    <w:rsid w:val="007E1B97"/>
    <w:rsid w:val="007E50B4"/>
    <w:rsid w:val="007E74F7"/>
    <w:rsid w:val="007F1B48"/>
    <w:rsid w:val="007F25E1"/>
    <w:rsid w:val="007F5AC3"/>
    <w:rsid w:val="007F6C82"/>
    <w:rsid w:val="007F6DDA"/>
    <w:rsid w:val="00802250"/>
    <w:rsid w:val="00805E9C"/>
    <w:rsid w:val="00811495"/>
    <w:rsid w:val="00817CE2"/>
    <w:rsid w:val="00821A90"/>
    <w:rsid w:val="00821F86"/>
    <w:rsid w:val="00824C0E"/>
    <w:rsid w:val="00827FCF"/>
    <w:rsid w:val="0083703A"/>
    <w:rsid w:val="008405F7"/>
    <w:rsid w:val="008409A1"/>
    <w:rsid w:val="00840A04"/>
    <w:rsid w:val="00841D5F"/>
    <w:rsid w:val="00843508"/>
    <w:rsid w:val="00845113"/>
    <w:rsid w:val="00845940"/>
    <w:rsid w:val="00846925"/>
    <w:rsid w:val="00847E7D"/>
    <w:rsid w:val="008545AF"/>
    <w:rsid w:val="00862130"/>
    <w:rsid w:val="0086443D"/>
    <w:rsid w:val="008658A8"/>
    <w:rsid w:val="0086612A"/>
    <w:rsid w:val="00872A67"/>
    <w:rsid w:val="008746BE"/>
    <w:rsid w:val="0087479A"/>
    <w:rsid w:val="0087697A"/>
    <w:rsid w:val="00877BB2"/>
    <w:rsid w:val="00882342"/>
    <w:rsid w:val="00883BAC"/>
    <w:rsid w:val="00885442"/>
    <w:rsid w:val="00887E19"/>
    <w:rsid w:val="00887EC6"/>
    <w:rsid w:val="00890348"/>
    <w:rsid w:val="00890C98"/>
    <w:rsid w:val="00890D14"/>
    <w:rsid w:val="008931D4"/>
    <w:rsid w:val="00894A14"/>
    <w:rsid w:val="00897B04"/>
    <w:rsid w:val="00897DC5"/>
    <w:rsid w:val="008B2FCF"/>
    <w:rsid w:val="008B40CA"/>
    <w:rsid w:val="008B424E"/>
    <w:rsid w:val="008B726F"/>
    <w:rsid w:val="008C209E"/>
    <w:rsid w:val="008C22D7"/>
    <w:rsid w:val="008C41A3"/>
    <w:rsid w:val="008C5383"/>
    <w:rsid w:val="008C555A"/>
    <w:rsid w:val="008D01EF"/>
    <w:rsid w:val="008D2926"/>
    <w:rsid w:val="008D6532"/>
    <w:rsid w:val="008D694B"/>
    <w:rsid w:val="008D7E39"/>
    <w:rsid w:val="008E2BFD"/>
    <w:rsid w:val="008F2BA6"/>
    <w:rsid w:val="008F445D"/>
    <w:rsid w:val="008F472B"/>
    <w:rsid w:val="008F56ED"/>
    <w:rsid w:val="008F672B"/>
    <w:rsid w:val="0090207A"/>
    <w:rsid w:val="009031ED"/>
    <w:rsid w:val="00906646"/>
    <w:rsid w:val="00914EAD"/>
    <w:rsid w:val="009206B9"/>
    <w:rsid w:val="00920B43"/>
    <w:rsid w:val="009235DC"/>
    <w:rsid w:val="00933C96"/>
    <w:rsid w:val="00935E20"/>
    <w:rsid w:val="00937B27"/>
    <w:rsid w:val="00940D87"/>
    <w:rsid w:val="009420CF"/>
    <w:rsid w:val="0094489A"/>
    <w:rsid w:val="00945044"/>
    <w:rsid w:val="00947689"/>
    <w:rsid w:val="00950912"/>
    <w:rsid w:val="009623A7"/>
    <w:rsid w:val="009665B4"/>
    <w:rsid w:val="00966D0C"/>
    <w:rsid w:val="00971602"/>
    <w:rsid w:val="00972027"/>
    <w:rsid w:val="009720F2"/>
    <w:rsid w:val="00975DFD"/>
    <w:rsid w:val="009775B4"/>
    <w:rsid w:val="009815B3"/>
    <w:rsid w:val="00982032"/>
    <w:rsid w:val="009840D4"/>
    <w:rsid w:val="00991F4D"/>
    <w:rsid w:val="009A4F89"/>
    <w:rsid w:val="009A5139"/>
    <w:rsid w:val="009A64EC"/>
    <w:rsid w:val="009B005D"/>
    <w:rsid w:val="009B1195"/>
    <w:rsid w:val="009B5834"/>
    <w:rsid w:val="009C1D78"/>
    <w:rsid w:val="009C38B6"/>
    <w:rsid w:val="009C4B72"/>
    <w:rsid w:val="009C5AB2"/>
    <w:rsid w:val="009D179E"/>
    <w:rsid w:val="009D6280"/>
    <w:rsid w:val="009D6F5B"/>
    <w:rsid w:val="009E0204"/>
    <w:rsid w:val="009E1699"/>
    <w:rsid w:val="009E1F92"/>
    <w:rsid w:val="009E521D"/>
    <w:rsid w:val="009E6F16"/>
    <w:rsid w:val="009E7768"/>
    <w:rsid w:val="009F08ED"/>
    <w:rsid w:val="009F1982"/>
    <w:rsid w:val="009F28F9"/>
    <w:rsid w:val="009F41DB"/>
    <w:rsid w:val="009F4B86"/>
    <w:rsid w:val="00A016F3"/>
    <w:rsid w:val="00A05F6E"/>
    <w:rsid w:val="00A068B6"/>
    <w:rsid w:val="00A069C9"/>
    <w:rsid w:val="00A070F3"/>
    <w:rsid w:val="00A07FEF"/>
    <w:rsid w:val="00A11E91"/>
    <w:rsid w:val="00A13A70"/>
    <w:rsid w:val="00A17BC6"/>
    <w:rsid w:val="00A23D9B"/>
    <w:rsid w:val="00A24134"/>
    <w:rsid w:val="00A251CE"/>
    <w:rsid w:val="00A27029"/>
    <w:rsid w:val="00A31CCA"/>
    <w:rsid w:val="00A32A8B"/>
    <w:rsid w:val="00A34119"/>
    <w:rsid w:val="00A34A45"/>
    <w:rsid w:val="00A37B7E"/>
    <w:rsid w:val="00A37EC3"/>
    <w:rsid w:val="00A460F1"/>
    <w:rsid w:val="00A50483"/>
    <w:rsid w:val="00A53022"/>
    <w:rsid w:val="00A54C0A"/>
    <w:rsid w:val="00A54DA7"/>
    <w:rsid w:val="00A61AC9"/>
    <w:rsid w:val="00A61EA9"/>
    <w:rsid w:val="00A62D33"/>
    <w:rsid w:val="00A64438"/>
    <w:rsid w:val="00A64AA3"/>
    <w:rsid w:val="00A65212"/>
    <w:rsid w:val="00A73EEE"/>
    <w:rsid w:val="00A77DF0"/>
    <w:rsid w:val="00A851FE"/>
    <w:rsid w:val="00A86B82"/>
    <w:rsid w:val="00A9007F"/>
    <w:rsid w:val="00A96A6D"/>
    <w:rsid w:val="00A972AD"/>
    <w:rsid w:val="00AA0305"/>
    <w:rsid w:val="00AA1678"/>
    <w:rsid w:val="00AA2454"/>
    <w:rsid w:val="00AA3B1B"/>
    <w:rsid w:val="00AA5053"/>
    <w:rsid w:val="00AA642B"/>
    <w:rsid w:val="00AA7263"/>
    <w:rsid w:val="00AA7568"/>
    <w:rsid w:val="00AB0254"/>
    <w:rsid w:val="00AB107D"/>
    <w:rsid w:val="00AB7863"/>
    <w:rsid w:val="00AC14F8"/>
    <w:rsid w:val="00AC4084"/>
    <w:rsid w:val="00AC5C8A"/>
    <w:rsid w:val="00AC7D06"/>
    <w:rsid w:val="00AD1BAC"/>
    <w:rsid w:val="00AD2384"/>
    <w:rsid w:val="00AD2C4F"/>
    <w:rsid w:val="00AD41AD"/>
    <w:rsid w:val="00AD613A"/>
    <w:rsid w:val="00AE17EB"/>
    <w:rsid w:val="00AE427D"/>
    <w:rsid w:val="00AE43B9"/>
    <w:rsid w:val="00AE57ED"/>
    <w:rsid w:val="00AE6938"/>
    <w:rsid w:val="00AE6F16"/>
    <w:rsid w:val="00AE7626"/>
    <w:rsid w:val="00AE7EB7"/>
    <w:rsid w:val="00AF1D72"/>
    <w:rsid w:val="00AF2CE3"/>
    <w:rsid w:val="00AF4051"/>
    <w:rsid w:val="00AF5456"/>
    <w:rsid w:val="00AF60AC"/>
    <w:rsid w:val="00B05AA3"/>
    <w:rsid w:val="00B069D0"/>
    <w:rsid w:val="00B14381"/>
    <w:rsid w:val="00B162A1"/>
    <w:rsid w:val="00B20DC3"/>
    <w:rsid w:val="00B20F29"/>
    <w:rsid w:val="00B21CC0"/>
    <w:rsid w:val="00B22DD3"/>
    <w:rsid w:val="00B230D1"/>
    <w:rsid w:val="00B23DC4"/>
    <w:rsid w:val="00B3135A"/>
    <w:rsid w:val="00B315A4"/>
    <w:rsid w:val="00B31A7B"/>
    <w:rsid w:val="00B36C44"/>
    <w:rsid w:val="00B36C8E"/>
    <w:rsid w:val="00B403DB"/>
    <w:rsid w:val="00B440B0"/>
    <w:rsid w:val="00B442F4"/>
    <w:rsid w:val="00B44670"/>
    <w:rsid w:val="00B467EE"/>
    <w:rsid w:val="00B50A4D"/>
    <w:rsid w:val="00B5652C"/>
    <w:rsid w:val="00B57303"/>
    <w:rsid w:val="00B600E8"/>
    <w:rsid w:val="00B71310"/>
    <w:rsid w:val="00B75258"/>
    <w:rsid w:val="00B772A4"/>
    <w:rsid w:val="00B83813"/>
    <w:rsid w:val="00B83B9C"/>
    <w:rsid w:val="00B84426"/>
    <w:rsid w:val="00B87214"/>
    <w:rsid w:val="00B9000E"/>
    <w:rsid w:val="00B90AC6"/>
    <w:rsid w:val="00B93D9E"/>
    <w:rsid w:val="00BA034C"/>
    <w:rsid w:val="00BA195A"/>
    <w:rsid w:val="00BA2A2D"/>
    <w:rsid w:val="00BA45C9"/>
    <w:rsid w:val="00BA5854"/>
    <w:rsid w:val="00BA623A"/>
    <w:rsid w:val="00BB1468"/>
    <w:rsid w:val="00BB5BD5"/>
    <w:rsid w:val="00BC4613"/>
    <w:rsid w:val="00BC785F"/>
    <w:rsid w:val="00BC7D3F"/>
    <w:rsid w:val="00BD3A7F"/>
    <w:rsid w:val="00BE3093"/>
    <w:rsid w:val="00BE3095"/>
    <w:rsid w:val="00BE3D99"/>
    <w:rsid w:val="00BF05B1"/>
    <w:rsid w:val="00BF2861"/>
    <w:rsid w:val="00C0206C"/>
    <w:rsid w:val="00C054EA"/>
    <w:rsid w:val="00C10708"/>
    <w:rsid w:val="00C10D9F"/>
    <w:rsid w:val="00C12910"/>
    <w:rsid w:val="00C2036C"/>
    <w:rsid w:val="00C2045A"/>
    <w:rsid w:val="00C23008"/>
    <w:rsid w:val="00C24FEA"/>
    <w:rsid w:val="00C323F4"/>
    <w:rsid w:val="00C32C62"/>
    <w:rsid w:val="00C35C17"/>
    <w:rsid w:val="00C40007"/>
    <w:rsid w:val="00C411E5"/>
    <w:rsid w:val="00C427EC"/>
    <w:rsid w:val="00C443A9"/>
    <w:rsid w:val="00C45558"/>
    <w:rsid w:val="00C472D1"/>
    <w:rsid w:val="00C540D7"/>
    <w:rsid w:val="00C6531D"/>
    <w:rsid w:val="00C65440"/>
    <w:rsid w:val="00C668F6"/>
    <w:rsid w:val="00C72B5B"/>
    <w:rsid w:val="00C73AEB"/>
    <w:rsid w:val="00C741C0"/>
    <w:rsid w:val="00C76C3A"/>
    <w:rsid w:val="00C80945"/>
    <w:rsid w:val="00C86E96"/>
    <w:rsid w:val="00C96A56"/>
    <w:rsid w:val="00CA223C"/>
    <w:rsid w:val="00CA485B"/>
    <w:rsid w:val="00CA4A84"/>
    <w:rsid w:val="00CA62F4"/>
    <w:rsid w:val="00CB02D0"/>
    <w:rsid w:val="00CB1275"/>
    <w:rsid w:val="00CB2E3A"/>
    <w:rsid w:val="00CB5FAF"/>
    <w:rsid w:val="00CB771B"/>
    <w:rsid w:val="00CB7BD9"/>
    <w:rsid w:val="00CC202C"/>
    <w:rsid w:val="00CD2CAC"/>
    <w:rsid w:val="00CD58C8"/>
    <w:rsid w:val="00CD58E1"/>
    <w:rsid w:val="00CD6F15"/>
    <w:rsid w:val="00CD726C"/>
    <w:rsid w:val="00CE116A"/>
    <w:rsid w:val="00CE19AD"/>
    <w:rsid w:val="00CE3039"/>
    <w:rsid w:val="00CE31C5"/>
    <w:rsid w:val="00CE6502"/>
    <w:rsid w:val="00CF1EC2"/>
    <w:rsid w:val="00CF24A6"/>
    <w:rsid w:val="00CF5ED4"/>
    <w:rsid w:val="00D007E0"/>
    <w:rsid w:val="00D00B38"/>
    <w:rsid w:val="00D0567E"/>
    <w:rsid w:val="00D065D1"/>
    <w:rsid w:val="00D06C37"/>
    <w:rsid w:val="00D15A6E"/>
    <w:rsid w:val="00D16EF4"/>
    <w:rsid w:val="00D20104"/>
    <w:rsid w:val="00D265DB"/>
    <w:rsid w:val="00D31754"/>
    <w:rsid w:val="00D3244D"/>
    <w:rsid w:val="00D32834"/>
    <w:rsid w:val="00D344F4"/>
    <w:rsid w:val="00D357E2"/>
    <w:rsid w:val="00D3619B"/>
    <w:rsid w:val="00D37191"/>
    <w:rsid w:val="00D3735D"/>
    <w:rsid w:val="00D402EC"/>
    <w:rsid w:val="00D41738"/>
    <w:rsid w:val="00D41EDE"/>
    <w:rsid w:val="00D51473"/>
    <w:rsid w:val="00D51813"/>
    <w:rsid w:val="00D53F84"/>
    <w:rsid w:val="00D55501"/>
    <w:rsid w:val="00D55931"/>
    <w:rsid w:val="00D55CD5"/>
    <w:rsid w:val="00D60D6E"/>
    <w:rsid w:val="00D63A5E"/>
    <w:rsid w:val="00D6747C"/>
    <w:rsid w:val="00D70C11"/>
    <w:rsid w:val="00D76C55"/>
    <w:rsid w:val="00D80282"/>
    <w:rsid w:val="00D81AF4"/>
    <w:rsid w:val="00D84292"/>
    <w:rsid w:val="00D85ED1"/>
    <w:rsid w:val="00D8793B"/>
    <w:rsid w:val="00D917AD"/>
    <w:rsid w:val="00D9206B"/>
    <w:rsid w:val="00D92271"/>
    <w:rsid w:val="00D93ACA"/>
    <w:rsid w:val="00DA4DEE"/>
    <w:rsid w:val="00DA5A3D"/>
    <w:rsid w:val="00DA5B5E"/>
    <w:rsid w:val="00DA68DA"/>
    <w:rsid w:val="00DB030F"/>
    <w:rsid w:val="00DB1AB8"/>
    <w:rsid w:val="00DC02AA"/>
    <w:rsid w:val="00DC0992"/>
    <w:rsid w:val="00DC0DC8"/>
    <w:rsid w:val="00DC1702"/>
    <w:rsid w:val="00DC26A9"/>
    <w:rsid w:val="00DD15C5"/>
    <w:rsid w:val="00DD26AA"/>
    <w:rsid w:val="00DD35F9"/>
    <w:rsid w:val="00DD662D"/>
    <w:rsid w:val="00DD699F"/>
    <w:rsid w:val="00DE2530"/>
    <w:rsid w:val="00DF1218"/>
    <w:rsid w:val="00DF1C58"/>
    <w:rsid w:val="00DF2D84"/>
    <w:rsid w:val="00DF3981"/>
    <w:rsid w:val="00DF4166"/>
    <w:rsid w:val="00DF5A71"/>
    <w:rsid w:val="00DF72D5"/>
    <w:rsid w:val="00DF783F"/>
    <w:rsid w:val="00E01A9D"/>
    <w:rsid w:val="00E12001"/>
    <w:rsid w:val="00E13CBF"/>
    <w:rsid w:val="00E20D50"/>
    <w:rsid w:val="00E2158E"/>
    <w:rsid w:val="00E24594"/>
    <w:rsid w:val="00E25184"/>
    <w:rsid w:val="00E25AA9"/>
    <w:rsid w:val="00E27757"/>
    <w:rsid w:val="00E31159"/>
    <w:rsid w:val="00E31531"/>
    <w:rsid w:val="00E32D1F"/>
    <w:rsid w:val="00E33032"/>
    <w:rsid w:val="00E37A0C"/>
    <w:rsid w:val="00E40242"/>
    <w:rsid w:val="00E50E67"/>
    <w:rsid w:val="00E562B0"/>
    <w:rsid w:val="00E61B85"/>
    <w:rsid w:val="00E630C9"/>
    <w:rsid w:val="00E635CA"/>
    <w:rsid w:val="00E64D04"/>
    <w:rsid w:val="00E656C6"/>
    <w:rsid w:val="00E65F89"/>
    <w:rsid w:val="00E667BC"/>
    <w:rsid w:val="00E66A60"/>
    <w:rsid w:val="00E70C3E"/>
    <w:rsid w:val="00E7240A"/>
    <w:rsid w:val="00E724D8"/>
    <w:rsid w:val="00E72AE5"/>
    <w:rsid w:val="00E80CDA"/>
    <w:rsid w:val="00E82F96"/>
    <w:rsid w:val="00E9022B"/>
    <w:rsid w:val="00E937F1"/>
    <w:rsid w:val="00E93F23"/>
    <w:rsid w:val="00E9467E"/>
    <w:rsid w:val="00E94792"/>
    <w:rsid w:val="00E952A8"/>
    <w:rsid w:val="00E95B09"/>
    <w:rsid w:val="00E95F72"/>
    <w:rsid w:val="00E9646A"/>
    <w:rsid w:val="00E96927"/>
    <w:rsid w:val="00EA3A0F"/>
    <w:rsid w:val="00EA4FF4"/>
    <w:rsid w:val="00EA62D5"/>
    <w:rsid w:val="00EA6890"/>
    <w:rsid w:val="00EA7390"/>
    <w:rsid w:val="00EB2E75"/>
    <w:rsid w:val="00EC012E"/>
    <w:rsid w:val="00EC12EE"/>
    <w:rsid w:val="00EC1701"/>
    <w:rsid w:val="00EC650E"/>
    <w:rsid w:val="00EC74E8"/>
    <w:rsid w:val="00ED0DFB"/>
    <w:rsid w:val="00ED3212"/>
    <w:rsid w:val="00ED3A2A"/>
    <w:rsid w:val="00EE00E0"/>
    <w:rsid w:val="00EE094F"/>
    <w:rsid w:val="00EE0B53"/>
    <w:rsid w:val="00EE18D6"/>
    <w:rsid w:val="00EF1B29"/>
    <w:rsid w:val="00EF5C98"/>
    <w:rsid w:val="00EF71F8"/>
    <w:rsid w:val="00EF74BD"/>
    <w:rsid w:val="00F01DA6"/>
    <w:rsid w:val="00F023D7"/>
    <w:rsid w:val="00F02507"/>
    <w:rsid w:val="00F037A6"/>
    <w:rsid w:val="00F055A0"/>
    <w:rsid w:val="00F07550"/>
    <w:rsid w:val="00F11589"/>
    <w:rsid w:val="00F24339"/>
    <w:rsid w:val="00F25714"/>
    <w:rsid w:val="00F3173A"/>
    <w:rsid w:val="00F31FE0"/>
    <w:rsid w:val="00F33FD4"/>
    <w:rsid w:val="00F36B08"/>
    <w:rsid w:val="00F40305"/>
    <w:rsid w:val="00F408B1"/>
    <w:rsid w:val="00F42331"/>
    <w:rsid w:val="00F4347E"/>
    <w:rsid w:val="00F43FE8"/>
    <w:rsid w:val="00F440CC"/>
    <w:rsid w:val="00F45888"/>
    <w:rsid w:val="00F46E34"/>
    <w:rsid w:val="00F5038F"/>
    <w:rsid w:val="00F50716"/>
    <w:rsid w:val="00F53952"/>
    <w:rsid w:val="00F53955"/>
    <w:rsid w:val="00F57E52"/>
    <w:rsid w:val="00F645B0"/>
    <w:rsid w:val="00F6785D"/>
    <w:rsid w:val="00F71560"/>
    <w:rsid w:val="00F71B98"/>
    <w:rsid w:val="00F75B6E"/>
    <w:rsid w:val="00F77275"/>
    <w:rsid w:val="00F80178"/>
    <w:rsid w:val="00F819E1"/>
    <w:rsid w:val="00F8235E"/>
    <w:rsid w:val="00F8435C"/>
    <w:rsid w:val="00F9045E"/>
    <w:rsid w:val="00F90D3B"/>
    <w:rsid w:val="00F95938"/>
    <w:rsid w:val="00F95A0D"/>
    <w:rsid w:val="00F96469"/>
    <w:rsid w:val="00F96FCE"/>
    <w:rsid w:val="00FA360E"/>
    <w:rsid w:val="00FB025A"/>
    <w:rsid w:val="00FB3D03"/>
    <w:rsid w:val="00FB3D8D"/>
    <w:rsid w:val="00FB5264"/>
    <w:rsid w:val="00FB686D"/>
    <w:rsid w:val="00FC0193"/>
    <w:rsid w:val="00FC14EA"/>
    <w:rsid w:val="00FC6427"/>
    <w:rsid w:val="00FD294A"/>
    <w:rsid w:val="00FD2E43"/>
    <w:rsid w:val="00FD6FB3"/>
    <w:rsid w:val="00FD7F36"/>
    <w:rsid w:val="00FE2278"/>
    <w:rsid w:val="00FE2297"/>
    <w:rsid w:val="00FE3474"/>
    <w:rsid w:val="00FE4F58"/>
    <w:rsid w:val="00FE5E22"/>
    <w:rsid w:val="00FE5FF9"/>
    <w:rsid w:val="00FE6B4C"/>
    <w:rsid w:val="00FE7C2B"/>
    <w:rsid w:val="00FF0769"/>
    <w:rsid w:val="00FF2F2C"/>
    <w:rsid w:val="00FF7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A9E8CD"/>
  <w15:docId w15:val="{A1AC904C-B116-487B-90F9-BEAD93F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61B8"/>
    <w:rPr>
      <w:rFonts w:ascii="Times New Roman" w:eastAsia="Times New Roman" w:hAnsi="Times New Roman" w:cs="Times New Roman"/>
      <w:lang w:val="en-AU"/>
    </w:rPr>
  </w:style>
  <w:style w:type="paragraph" w:styleId="Heading1">
    <w:name w:val="heading 1"/>
    <w:basedOn w:val="Normal"/>
    <w:link w:val="Heading1Char"/>
    <w:uiPriority w:val="1"/>
    <w:qFormat/>
    <w:rsid w:val="006B49B7"/>
    <w:pPr>
      <w:keepNext/>
      <w:widowControl/>
      <w:numPr>
        <w:numId w:val="11"/>
      </w:numPr>
      <w:autoSpaceDE/>
      <w:autoSpaceDN/>
      <w:spacing w:before="600" w:after="120"/>
      <w:ind w:left="567" w:hanging="567"/>
      <w:outlineLvl w:val="0"/>
    </w:pPr>
    <w:rPr>
      <w:rFonts w:ascii="Arial" w:hAnsi="Arial" w:cs="Arial"/>
      <w:b/>
      <w:bCs/>
      <w:color w:val="004259"/>
      <w:sz w:val="28"/>
      <w:szCs w:val="26"/>
    </w:rPr>
  </w:style>
  <w:style w:type="paragraph" w:styleId="Heading2">
    <w:name w:val="heading 2"/>
    <w:basedOn w:val="Normal"/>
    <w:uiPriority w:val="1"/>
    <w:qFormat/>
    <w:rsid w:val="006B49B7"/>
    <w:pPr>
      <w:keepNext/>
      <w:spacing w:before="360"/>
      <w:ind w:left="567" w:hanging="567"/>
      <w:outlineLvl w:val="1"/>
    </w:pPr>
    <w:rPr>
      <w:rFonts w:ascii="Arial" w:eastAsia="SimSun" w:hAnsi="Arial" w:cs="Arial"/>
      <w:b/>
      <w:bCs/>
      <w:color w:val="004259"/>
      <w:sz w:val="24"/>
      <w:szCs w:val="26"/>
    </w:rPr>
  </w:style>
  <w:style w:type="paragraph" w:styleId="Heading3">
    <w:name w:val="heading 3"/>
    <w:basedOn w:val="Normal"/>
    <w:link w:val="Heading3Char"/>
    <w:qFormat/>
    <w:rsid w:val="00F42331"/>
    <w:pPr>
      <w:keepNext/>
      <w:spacing w:before="360" w:after="120"/>
      <w:ind w:left="992" w:hanging="567"/>
      <w:outlineLvl w:val="2"/>
    </w:pPr>
    <w:rPr>
      <w:rFonts w:ascii="Arial" w:hAnsi="Arial" w:cs="Arial"/>
      <w:b/>
      <w:bCs/>
      <w:sz w:val="20"/>
      <w:szCs w:val="20"/>
    </w:rPr>
  </w:style>
  <w:style w:type="paragraph" w:styleId="Heading4">
    <w:name w:val="heading 4"/>
    <w:basedOn w:val="Heading3"/>
    <w:qFormat/>
    <w:rsid w:val="004561B8"/>
    <w:pPr>
      <w:outlineLvl w:val="3"/>
    </w:pPr>
    <w:rPr>
      <w:i/>
      <w:iCs/>
      <w:lang w:val="en-US"/>
    </w:rPr>
  </w:style>
  <w:style w:type="paragraph" w:styleId="Heading5">
    <w:name w:val="heading 5"/>
    <w:basedOn w:val="Heading4"/>
    <w:next w:val="Normal"/>
    <w:link w:val="Heading5Char"/>
    <w:qFormat/>
    <w:rsid w:val="00C427EC"/>
    <w:pPr>
      <w:widowControl/>
      <w:tabs>
        <w:tab w:val="num" w:pos="1021"/>
      </w:tabs>
      <w:autoSpaceDE/>
      <w:autoSpaceDN/>
      <w:spacing w:after="200"/>
      <w:ind w:left="1021" w:hanging="454"/>
      <w:outlineLvl w:val="4"/>
    </w:pPr>
    <w:rPr>
      <w:b w:val="0"/>
      <w:bCs w:val="0"/>
    </w:rPr>
  </w:style>
  <w:style w:type="paragraph" w:styleId="Heading6">
    <w:name w:val="heading 6"/>
    <w:basedOn w:val="Normal"/>
    <w:next w:val="Normal"/>
    <w:link w:val="Heading6Char"/>
    <w:qFormat/>
    <w:rsid w:val="00C427EC"/>
    <w:pPr>
      <w:widowControl/>
      <w:tabs>
        <w:tab w:val="num" w:pos="1588"/>
      </w:tabs>
      <w:autoSpaceDE/>
      <w:autoSpaceDN/>
      <w:spacing w:after="200"/>
      <w:ind w:left="1588" w:hanging="567"/>
      <w:outlineLvl w:val="5"/>
    </w:pPr>
    <w:rPr>
      <w:rFonts w:ascii="Arial" w:hAnsi="Arial"/>
      <w:bCs/>
      <w:sz w:val="20"/>
    </w:rPr>
  </w:style>
  <w:style w:type="paragraph" w:styleId="Heading7">
    <w:name w:val="heading 7"/>
    <w:basedOn w:val="Normal"/>
    <w:next w:val="Normal"/>
    <w:link w:val="Heading7Char"/>
    <w:unhideWhenUsed/>
    <w:rsid w:val="000940DD"/>
    <w:pPr>
      <w:keepNext/>
      <w:keepLines/>
      <w:widowControl/>
      <w:autoSpaceDE/>
      <w:autoSpaceDN/>
      <w:spacing w:before="200"/>
      <w:ind w:left="1296" w:hanging="1296"/>
      <w:outlineLvl w:val="6"/>
    </w:pPr>
    <w:rPr>
      <w:rFonts w:asciiTheme="majorHAnsi" w:eastAsiaTheme="majorEastAsia" w:hAnsiTheme="majorHAnsi" w:cstheme="majorBidi"/>
      <w:i/>
      <w:iCs/>
      <w:color w:val="404040" w:themeColor="text1" w:themeTint="BF"/>
      <w:sz w:val="18"/>
      <w:szCs w:val="18"/>
      <w:lang w:val="en-US" w:eastAsia="ja-JP"/>
    </w:rPr>
  </w:style>
  <w:style w:type="paragraph" w:styleId="Heading8">
    <w:name w:val="heading 8"/>
    <w:basedOn w:val="Normal"/>
    <w:next w:val="Normal"/>
    <w:link w:val="Heading8Char"/>
    <w:unhideWhenUsed/>
    <w:rsid w:val="000940DD"/>
    <w:pPr>
      <w:keepNext/>
      <w:keepLines/>
      <w:widowControl/>
      <w:autoSpaceDE/>
      <w:autoSpaceDN/>
      <w:spacing w:before="200"/>
      <w:ind w:left="1440" w:hanging="1440"/>
      <w:outlineLvl w:val="7"/>
    </w:pPr>
    <w:rPr>
      <w:rFonts w:asciiTheme="majorHAnsi" w:eastAsiaTheme="majorEastAsia" w:hAnsiTheme="majorHAnsi" w:cstheme="majorBidi"/>
      <w:color w:val="404040" w:themeColor="text1" w:themeTint="BF"/>
      <w:sz w:val="18"/>
      <w:szCs w:val="20"/>
      <w:lang w:val="en-US" w:eastAsia="ja-JP"/>
    </w:rPr>
  </w:style>
  <w:style w:type="paragraph" w:styleId="Heading9">
    <w:name w:val="heading 9"/>
    <w:basedOn w:val="Normal"/>
    <w:next w:val="Normal"/>
    <w:link w:val="Heading9Char"/>
    <w:unhideWhenUsed/>
    <w:rsid w:val="000940DD"/>
    <w:pPr>
      <w:keepNext/>
      <w:keepLines/>
      <w:widowControl/>
      <w:autoSpaceDE/>
      <w:autoSpaceDN/>
      <w:spacing w:before="200"/>
      <w:ind w:left="1584" w:hanging="1584"/>
      <w:outlineLvl w:val="8"/>
    </w:pPr>
    <w:rPr>
      <w:rFonts w:asciiTheme="majorHAnsi" w:eastAsiaTheme="majorEastAsia" w:hAnsiTheme="majorHAnsi" w:cstheme="majorBidi"/>
      <w:i/>
      <w:iCs/>
      <w:color w:val="404040" w:themeColor="text1" w:themeTint="BF"/>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D51813"/>
    <w:pPr>
      <w:tabs>
        <w:tab w:val="left" w:pos="567"/>
        <w:tab w:val="right" w:leader="dot" w:pos="9356"/>
      </w:tabs>
      <w:spacing w:before="120"/>
      <w:ind w:left="709" w:hanging="567"/>
    </w:pPr>
    <w:rPr>
      <w:rFonts w:ascii="Arial" w:hAnsi="Arial"/>
      <w:b/>
      <w:sz w:val="18"/>
      <w:szCs w:val="18"/>
    </w:rPr>
  </w:style>
  <w:style w:type="paragraph" w:styleId="TOC2">
    <w:name w:val="toc 2"/>
    <w:basedOn w:val="Normal"/>
    <w:uiPriority w:val="39"/>
    <w:qFormat/>
    <w:rsid w:val="00D51813"/>
    <w:pPr>
      <w:tabs>
        <w:tab w:val="left" w:pos="1134"/>
        <w:tab w:val="right" w:leader="dot" w:pos="9356"/>
      </w:tabs>
      <w:spacing w:before="60"/>
      <w:ind w:left="1134" w:hanging="567"/>
    </w:pPr>
    <w:rPr>
      <w:rFonts w:ascii="Arial" w:hAnsi="Arial"/>
      <w:bCs/>
      <w:sz w:val="18"/>
    </w:rPr>
  </w:style>
  <w:style w:type="paragraph" w:styleId="TOC3">
    <w:name w:val="toc 3"/>
    <w:basedOn w:val="Normal"/>
    <w:uiPriority w:val="39"/>
    <w:qFormat/>
    <w:pPr>
      <w:spacing w:line="252" w:lineRule="exact"/>
      <w:ind w:left="1571" w:hanging="852"/>
    </w:pPr>
  </w:style>
  <w:style w:type="paragraph" w:styleId="BodyText">
    <w:name w:val="Body Text"/>
    <w:basedOn w:val="Style6"/>
    <w:link w:val="BodyTextChar"/>
    <w:uiPriority w:val="1"/>
    <w:qFormat/>
    <w:rsid w:val="001B7F72"/>
    <w:pPr>
      <w:numPr>
        <w:ilvl w:val="0"/>
        <w:numId w:val="0"/>
      </w:numPr>
      <w:spacing w:before="240" w:after="120"/>
      <w:ind w:left="34"/>
    </w:pPr>
    <w:rPr>
      <w:bCs/>
    </w:rPr>
  </w:style>
  <w:style w:type="paragraph" w:styleId="ListParagraph">
    <w:name w:val="List Paragraph"/>
    <w:basedOn w:val="Normal"/>
    <w:link w:val="ListParagraphChar"/>
    <w:uiPriority w:val="1"/>
    <w:qFormat/>
    <w:pPr>
      <w:ind w:left="993" w:hanging="852"/>
    </w:pPr>
  </w:style>
  <w:style w:type="paragraph" w:customStyle="1" w:styleId="TableParagraph">
    <w:name w:val="Table Paragraph"/>
    <w:basedOn w:val="Normal"/>
    <w:uiPriority w:val="1"/>
    <w:qFormat/>
    <w:pPr>
      <w:spacing w:before="54"/>
      <w:ind w:left="103"/>
    </w:pPr>
  </w:style>
  <w:style w:type="paragraph" w:customStyle="1" w:styleId="Style1">
    <w:name w:val="Style1"/>
    <w:basedOn w:val="ListParagraph"/>
    <w:link w:val="Style1Char"/>
    <w:uiPriority w:val="1"/>
    <w:qFormat/>
    <w:rsid w:val="00557601"/>
    <w:pPr>
      <w:widowControl/>
      <w:autoSpaceDE/>
      <w:autoSpaceDN/>
      <w:spacing w:before="360" w:after="120"/>
      <w:ind w:left="0" w:firstLine="0"/>
      <w:outlineLvl w:val="0"/>
    </w:pPr>
    <w:rPr>
      <w:rFonts w:ascii="Arial" w:eastAsia="SimSun" w:hAnsi="Arial" w:cs="Arial"/>
      <w:b/>
      <w:bCs/>
      <w:color w:val="244061" w:themeColor="accent1" w:themeShade="80"/>
      <w:sz w:val="28"/>
      <w:szCs w:val="28"/>
      <w:lang w:eastAsia="ja-JP"/>
    </w:rPr>
  </w:style>
  <w:style w:type="paragraph" w:customStyle="1" w:styleId="Style2">
    <w:name w:val="Style2"/>
    <w:basedOn w:val="ListParagraph"/>
    <w:link w:val="Style2Char"/>
    <w:uiPriority w:val="1"/>
    <w:qFormat/>
    <w:rsid w:val="00F023D7"/>
    <w:pPr>
      <w:keepNext/>
      <w:keepLines/>
      <w:widowControl/>
      <w:tabs>
        <w:tab w:val="left" w:pos="993"/>
      </w:tabs>
      <w:autoSpaceDE/>
      <w:autoSpaceDN/>
      <w:spacing w:before="240" w:after="120"/>
      <w:ind w:left="0" w:firstLine="0"/>
      <w:outlineLvl w:val="1"/>
    </w:pPr>
    <w:rPr>
      <w:rFonts w:ascii="Arial" w:eastAsia="SimSun" w:hAnsi="Arial" w:cs="Arial"/>
      <w:b/>
      <w:color w:val="365F91" w:themeColor="accent1" w:themeShade="BF"/>
      <w:lang w:eastAsia="ja-JP"/>
    </w:rPr>
  </w:style>
  <w:style w:type="character" w:customStyle="1" w:styleId="ListParagraphChar">
    <w:name w:val="List Paragraph Char"/>
    <w:basedOn w:val="DefaultParagraphFont"/>
    <w:link w:val="ListParagraph"/>
    <w:uiPriority w:val="1"/>
    <w:rsid w:val="00303A16"/>
    <w:rPr>
      <w:rFonts w:ascii="Times New Roman" w:eastAsia="Times New Roman" w:hAnsi="Times New Roman" w:cs="Times New Roman"/>
    </w:rPr>
  </w:style>
  <w:style w:type="character" w:customStyle="1" w:styleId="Style1Char">
    <w:name w:val="Style1 Char"/>
    <w:basedOn w:val="ListParagraphChar"/>
    <w:link w:val="Style1"/>
    <w:uiPriority w:val="1"/>
    <w:rsid w:val="00557601"/>
    <w:rPr>
      <w:rFonts w:ascii="Arial" w:eastAsia="SimSun" w:hAnsi="Arial" w:cs="Arial"/>
      <w:b/>
      <w:bCs/>
      <w:color w:val="244061" w:themeColor="accent1" w:themeShade="80"/>
      <w:sz w:val="28"/>
      <w:szCs w:val="28"/>
      <w:lang w:val="en-AU" w:eastAsia="ja-JP"/>
    </w:rPr>
  </w:style>
  <w:style w:type="paragraph" w:customStyle="1" w:styleId="Style3">
    <w:name w:val="Style3"/>
    <w:basedOn w:val="BodyText"/>
    <w:link w:val="Style3Char"/>
    <w:uiPriority w:val="1"/>
    <w:qFormat/>
    <w:rsid w:val="002652B9"/>
    <w:pPr>
      <w:numPr>
        <w:numId w:val="1"/>
      </w:numPr>
    </w:pPr>
  </w:style>
  <w:style w:type="character" w:customStyle="1" w:styleId="Style2Char">
    <w:name w:val="Style2 Char"/>
    <w:basedOn w:val="ListParagraphChar"/>
    <w:link w:val="Style2"/>
    <w:uiPriority w:val="1"/>
    <w:rsid w:val="00F023D7"/>
    <w:rPr>
      <w:rFonts w:ascii="Arial" w:eastAsia="SimSun" w:hAnsi="Arial" w:cs="Arial"/>
      <w:b/>
      <w:color w:val="365F91" w:themeColor="accent1" w:themeShade="BF"/>
      <w:lang w:val="en-AU" w:eastAsia="ja-JP"/>
    </w:rPr>
  </w:style>
  <w:style w:type="paragraph" w:customStyle="1" w:styleId="Style4">
    <w:name w:val="Style4"/>
    <w:basedOn w:val="ListParagraph"/>
    <w:link w:val="Style4Char"/>
    <w:uiPriority w:val="1"/>
    <w:qFormat/>
    <w:rsid w:val="000115DE"/>
    <w:pPr>
      <w:numPr>
        <w:numId w:val="8"/>
      </w:numPr>
      <w:tabs>
        <w:tab w:val="left" w:pos="2268"/>
      </w:tabs>
      <w:spacing w:before="119"/>
      <w:ind w:right="306"/>
    </w:pPr>
    <w:rPr>
      <w:rFonts w:ascii="Arial" w:hAnsi="Arial" w:cs="Arial"/>
      <w:noProof/>
      <w:sz w:val="20"/>
      <w:szCs w:val="20"/>
    </w:rPr>
  </w:style>
  <w:style w:type="character" w:customStyle="1" w:styleId="BodyTextChar">
    <w:name w:val="Body Text Char"/>
    <w:basedOn w:val="DefaultParagraphFont"/>
    <w:link w:val="BodyText"/>
    <w:uiPriority w:val="1"/>
    <w:rsid w:val="001B7F72"/>
    <w:rPr>
      <w:rFonts w:ascii="Arial" w:eastAsiaTheme="minorEastAsia" w:hAnsi="Arial" w:cs="Times New Roman"/>
      <w:bCs/>
      <w:sz w:val="20"/>
      <w:szCs w:val="20"/>
      <w:lang w:eastAsia="ja-JP"/>
    </w:rPr>
  </w:style>
  <w:style w:type="character" w:customStyle="1" w:styleId="Style3Char">
    <w:name w:val="Style3 Char"/>
    <w:basedOn w:val="BodyTextChar"/>
    <w:link w:val="Style3"/>
    <w:uiPriority w:val="1"/>
    <w:rsid w:val="002652B9"/>
    <w:rPr>
      <w:rFonts w:ascii="Arial" w:eastAsiaTheme="minorEastAsia" w:hAnsi="Arial" w:cs="Times New Roman"/>
      <w:bCs/>
      <w:sz w:val="20"/>
      <w:szCs w:val="20"/>
      <w:lang w:eastAsia="ja-JP"/>
    </w:rPr>
  </w:style>
  <w:style w:type="paragraph" w:customStyle="1" w:styleId="Subheading">
    <w:name w:val="Subheading"/>
    <w:basedOn w:val="Heading3"/>
    <w:link w:val="SubheadingChar"/>
    <w:uiPriority w:val="1"/>
    <w:qFormat/>
    <w:rsid w:val="00E95B09"/>
    <w:pPr>
      <w:numPr>
        <w:numId w:val="4"/>
      </w:numPr>
      <w:spacing w:before="180" w:after="60"/>
    </w:pPr>
    <w:rPr>
      <w:sz w:val="22"/>
      <w:szCs w:val="22"/>
    </w:rPr>
  </w:style>
  <w:style w:type="character" w:customStyle="1" w:styleId="Style4Char">
    <w:name w:val="Style4 Char"/>
    <w:basedOn w:val="ListParagraphChar"/>
    <w:link w:val="Style4"/>
    <w:uiPriority w:val="1"/>
    <w:rsid w:val="000115DE"/>
    <w:rPr>
      <w:rFonts w:ascii="Arial" w:eastAsia="Times New Roman" w:hAnsi="Arial" w:cs="Arial"/>
      <w:noProof/>
      <w:sz w:val="20"/>
      <w:szCs w:val="20"/>
      <w:lang w:val="en-AU"/>
    </w:rPr>
  </w:style>
  <w:style w:type="numbering" w:customStyle="1" w:styleId="Style5">
    <w:name w:val="Style5"/>
    <w:uiPriority w:val="99"/>
    <w:rsid w:val="0087697A"/>
    <w:pPr>
      <w:numPr>
        <w:numId w:val="2"/>
      </w:numPr>
    </w:pPr>
  </w:style>
  <w:style w:type="character" w:customStyle="1" w:styleId="Heading3Char">
    <w:name w:val="Heading 3 Char"/>
    <w:basedOn w:val="DefaultParagraphFont"/>
    <w:link w:val="Heading3"/>
    <w:rsid w:val="00F42331"/>
    <w:rPr>
      <w:rFonts w:ascii="Arial" w:eastAsia="Times New Roman" w:hAnsi="Arial" w:cs="Arial"/>
      <w:b/>
      <w:bCs/>
      <w:sz w:val="20"/>
      <w:szCs w:val="20"/>
      <w:lang w:val="en-AU"/>
    </w:rPr>
  </w:style>
  <w:style w:type="character" w:customStyle="1" w:styleId="SubheadingChar">
    <w:name w:val="Subheading Char"/>
    <w:basedOn w:val="Heading3Char"/>
    <w:link w:val="Subheading"/>
    <w:uiPriority w:val="1"/>
    <w:rsid w:val="00E95B09"/>
    <w:rPr>
      <w:rFonts w:ascii="Arial" w:eastAsia="Times New Roman" w:hAnsi="Arial" w:cs="Arial"/>
      <w:b/>
      <w:bCs/>
      <w:sz w:val="20"/>
      <w:szCs w:val="20"/>
      <w:lang w:val="en-AU"/>
    </w:rPr>
  </w:style>
  <w:style w:type="paragraph" w:customStyle="1" w:styleId="Paragraph">
    <w:name w:val="Paragraph"/>
    <w:basedOn w:val="Normal"/>
    <w:link w:val="ParagraphChar"/>
    <w:qFormat/>
    <w:rsid w:val="00760D5D"/>
    <w:pPr>
      <w:widowControl/>
      <w:tabs>
        <w:tab w:val="num" w:pos="1134"/>
      </w:tabs>
      <w:autoSpaceDE/>
      <w:autoSpaceDN/>
      <w:spacing w:after="60"/>
      <w:ind w:left="1134" w:hanging="425"/>
      <w:jc w:val="both"/>
    </w:pPr>
    <w:rPr>
      <w:noProof/>
      <w:sz w:val="20"/>
      <w:szCs w:val="20"/>
    </w:rPr>
  </w:style>
  <w:style w:type="paragraph" w:customStyle="1" w:styleId="Heading1RestartNumbering">
    <w:name w:val="Heading 1 Restart Numbering"/>
    <w:basedOn w:val="Heading1"/>
    <w:next w:val="Heading2"/>
    <w:rsid w:val="00760D5D"/>
    <w:pPr>
      <w:keepLines/>
      <w:tabs>
        <w:tab w:val="num" w:pos="360"/>
      </w:tabs>
      <w:spacing w:before="60"/>
      <w:ind w:left="0"/>
    </w:pPr>
    <w:rPr>
      <w:rFonts w:ascii="Arial Black" w:hAnsi="Arial Black"/>
      <w:b w:val="0"/>
      <w:bCs w:val="0"/>
      <w:sz w:val="40"/>
      <w:szCs w:val="20"/>
    </w:rPr>
  </w:style>
  <w:style w:type="paragraph" w:customStyle="1" w:styleId="Sub-paragraph">
    <w:name w:val="Sub-paragraph"/>
    <w:basedOn w:val="Normal"/>
    <w:link w:val="Sub-paragraphChar"/>
    <w:qFormat/>
    <w:rsid w:val="00760D5D"/>
    <w:pPr>
      <w:widowControl/>
      <w:tabs>
        <w:tab w:val="num" w:pos="1559"/>
      </w:tabs>
      <w:autoSpaceDE/>
      <w:autoSpaceDN/>
      <w:spacing w:after="60"/>
      <w:ind w:left="1559" w:hanging="425"/>
      <w:jc w:val="both"/>
    </w:pPr>
    <w:rPr>
      <w:noProof/>
      <w:sz w:val="20"/>
      <w:szCs w:val="20"/>
    </w:rPr>
  </w:style>
  <w:style w:type="paragraph" w:customStyle="1" w:styleId="Sub-sub-paragraph">
    <w:name w:val="Sub-sub-paragraph"/>
    <w:basedOn w:val="Sub-paragraph"/>
    <w:qFormat/>
    <w:rsid w:val="00760D5D"/>
    <w:pPr>
      <w:tabs>
        <w:tab w:val="clear" w:pos="1559"/>
        <w:tab w:val="num" w:pos="1985"/>
      </w:tabs>
      <w:ind w:left="1985" w:hanging="426"/>
      <w:outlineLvl w:val="6"/>
    </w:pPr>
    <w:rPr>
      <w:noProof w:val="0"/>
    </w:rPr>
  </w:style>
  <w:style w:type="paragraph" w:customStyle="1" w:styleId="Sub-sub-sub-paragraph">
    <w:name w:val="Sub-sub-sub-paragraph"/>
    <w:basedOn w:val="Sub-sub-paragraph"/>
    <w:qFormat/>
    <w:rsid w:val="00760D5D"/>
    <w:pPr>
      <w:tabs>
        <w:tab w:val="clear" w:pos="1985"/>
        <w:tab w:val="num" w:pos="2410"/>
      </w:tabs>
      <w:ind w:left="2410" w:hanging="425"/>
    </w:pPr>
  </w:style>
  <w:style w:type="paragraph" w:customStyle="1" w:styleId="Style6">
    <w:name w:val="Style6"/>
    <w:basedOn w:val="Style13"/>
    <w:link w:val="Style6Char"/>
    <w:uiPriority w:val="1"/>
    <w:qFormat/>
    <w:rsid w:val="006B49B7"/>
    <w:pPr>
      <w:numPr>
        <w:ilvl w:val="1"/>
        <w:numId w:val="11"/>
      </w:numPr>
      <w:ind w:left="567" w:hanging="567"/>
    </w:pPr>
  </w:style>
  <w:style w:type="numbering" w:customStyle="1" w:styleId="Style7">
    <w:name w:val="Style7"/>
    <w:uiPriority w:val="99"/>
    <w:rsid w:val="0041075A"/>
    <w:pPr>
      <w:numPr>
        <w:numId w:val="3"/>
      </w:numPr>
    </w:pPr>
  </w:style>
  <w:style w:type="character" w:customStyle="1" w:styleId="ParagraphChar">
    <w:name w:val="Paragraph Char"/>
    <w:basedOn w:val="DefaultParagraphFont"/>
    <w:link w:val="Paragraph"/>
    <w:rsid w:val="00760D5D"/>
    <w:rPr>
      <w:rFonts w:ascii="Times New Roman" w:eastAsia="Times New Roman" w:hAnsi="Times New Roman" w:cs="Times New Roman"/>
      <w:noProof/>
      <w:sz w:val="20"/>
      <w:szCs w:val="20"/>
      <w:lang w:val="en-AU"/>
    </w:rPr>
  </w:style>
  <w:style w:type="character" w:customStyle="1" w:styleId="Style6Char">
    <w:name w:val="Style6 Char"/>
    <w:basedOn w:val="ParagraphChar"/>
    <w:link w:val="Style6"/>
    <w:uiPriority w:val="1"/>
    <w:rsid w:val="006B49B7"/>
    <w:rPr>
      <w:rFonts w:ascii="Arial" w:eastAsiaTheme="minorEastAsia" w:hAnsi="Arial" w:cs="Times New Roman"/>
      <w:noProof/>
      <w:sz w:val="20"/>
      <w:szCs w:val="20"/>
      <w:lang w:val="en-AU" w:eastAsia="ja-JP"/>
    </w:rPr>
  </w:style>
  <w:style w:type="character" w:customStyle="1" w:styleId="Sub-paragraphChar">
    <w:name w:val="Sub-paragraph Char"/>
    <w:link w:val="Sub-paragraph"/>
    <w:rsid w:val="00FE6B4C"/>
    <w:rPr>
      <w:rFonts w:ascii="Times New Roman" w:eastAsia="Times New Roman" w:hAnsi="Times New Roman" w:cs="Times New Roman"/>
      <w:noProof/>
      <w:sz w:val="20"/>
      <w:szCs w:val="20"/>
      <w:lang w:val="en-AU"/>
    </w:rPr>
  </w:style>
  <w:style w:type="paragraph" w:customStyle="1" w:styleId="Bodynumbered1">
    <w:name w:val="Body numbered 1"/>
    <w:basedOn w:val="Style6"/>
    <w:qFormat/>
    <w:rsid w:val="00462624"/>
    <w:pPr>
      <w:keepLines/>
      <w:spacing w:before="240" w:after="120"/>
    </w:pPr>
    <w:rPr>
      <w:lang w:val="en-AU"/>
    </w:rPr>
  </w:style>
  <w:style w:type="paragraph" w:customStyle="1" w:styleId="Bodynumbered2">
    <w:name w:val="Body numbered 2"/>
    <w:basedOn w:val="Bodynumbered1"/>
    <w:qFormat/>
    <w:rsid w:val="00CF24A6"/>
    <w:pPr>
      <w:numPr>
        <w:ilvl w:val="0"/>
        <w:numId w:val="19"/>
      </w:numPr>
      <w:spacing w:before="120"/>
      <w:ind w:left="924" w:hanging="357"/>
    </w:pPr>
  </w:style>
  <w:style w:type="paragraph" w:customStyle="1" w:styleId="Bodynumbered3">
    <w:name w:val="Body numbered 3"/>
    <w:basedOn w:val="Bodynumbered2"/>
    <w:qFormat/>
    <w:rsid w:val="009F08ED"/>
    <w:pPr>
      <w:numPr>
        <w:numId w:val="13"/>
      </w:numPr>
      <w:ind w:left="1276" w:hanging="425"/>
    </w:pPr>
  </w:style>
  <w:style w:type="paragraph" w:customStyle="1" w:styleId="AnnexureHeading">
    <w:name w:val="Annexure Heading"/>
    <w:basedOn w:val="Style1"/>
    <w:link w:val="AnnexureHeadingChar"/>
    <w:uiPriority w:val="1"/>
    <w:qFormat/>
    <w:rsid w:val="006B49B7"/>
    <w:pPr>
      <w:pageBreakBefore/>
      <w:ind w:left="2268" w:hanging="2268"/>
    </w:pPr>
    <w:rPr>
      <w:color w:val="004259"/>
    </w:rPr>
  </w:style>
  <w:style w:type="paragraph" w:styleId="Header">
    <w:name w:val="header"/>
    <w:basedOn w:val="Normal"/>
    <w:link w:val="HeaderChar"/>
    <w:uiPriority w:val="99"/>
    <w:unhideWhenUsed/>
    <w:rsid w:val="00FB3D8D"/>
    <w:pPr>
      <w:tabs>
        <w:tab w:val="center" w:pos="4513"/>
        <w:tab w:val="right" w:pos="9026"/>
      </w:tabs>
    </w:pPr>
  </w:style>
  <w:style w:type="character" w:customStyle="1" w:styleId="AnnexureHeadingChar">
    <w:name w:val="Annexure Heading Char"/>
    <w:basedOn w:val="Style1Char"/>
    <w:link w:val="AnnexureHeading"/>
    <w:uiPriority w:val="1"/>
    <w:rsid w:val="006B49B7"/>
    <w:rPr>
      <w:rFonts w:ascii="Arial" w:eastAsia="SimSun" w:hAnsi="Arial" w:cs="Arial"/>
      <w:b/>
      <w:bCs/>
      <w:color w:val="004259"/>
      <w:sz w:val="28"/>
      <w:szCs w:val="28"/>
      <w:lang w:val="en-AU" w:eastAsia="ja-JP"/>
    </w:rPr>
  </w:style>
  <w:style w:type="character" w:customStyle="1" w:styleId="HeaderChar">
    <w:name w:val="Header Char"/>
    <w:basedOn w:val="DefaultParagraphFont"/>
    <w:link w:val="Header"/>
    <w:uiPriority w:val="99"/>
    <w:rsid w:val="00FB3D8D"/>
    <w:rPr>
      <w:rFonts w:ascii="Times New Roman" w:eastAsia="Times New Roman" w:hAnsi="Times New Roman" w:cs="Times New Roman"/>
    </w:rPr>
  </w:style>
  <w:style w:type="paragraph" w:styleId="Footer">
    <w:name w:val="footer"/>
    <w:basedOn w:val="Normal"/>
    <w:link w:val="FooterChar"/>
    <w:uiPriority w:val="99"/>
    <w:unhideWhenUsed/>
    <w:rsid w:val="00FB3D8D"/>
    <w:pPr>
      <w:tabs>
        <w:tab w:val="center" w:pos="4513"/>
        <w:tab w:val="right" w:pos="9026"/>
      </w:tabs>
    </w:pPr>
  </w:style>
  <w:style w:type="character" w:customStyle="1" w:styleId="FooterChar">
    <w:name w:val="Footer Char"/>
    <w:basedOn w:val="DefaultParagraphFont"/>
    <w:link w:val="Footer"/>
    <w:uiPriority w:val="99"/>
    <w:rsid w:val="00FB3D8D"/>
    <w:rPr>
      <w:rFonts w:ascii="Times New Roman" w:eastAsia="Times New Roman" w:hAnsi="Times New Roman" w:cs="Times New Roman"/>
    </w:rPr>
  </w:style>
  <w:style w:type="table" w:customStyle="1" w:styleId="SimpleTable1">
    <w:name w:val="Simple Table1"/>
    <w:basedOn w:val="TableNormal"/>
    <w:next w:val="TableGrid"/>
    <w:uiPriority w:val="39"/>
    <w:rsid w:val="00FB3D8D"/>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numbering" w:customStyle="1" w:styleId="Style8">
    <w:name w:val="Style8"/>
    <w:uiPriority w:val="99"/>
    <w:rsid w:val="00FB3D8D"/>
    <w:pPr>
      <w:numPr>
        <w:numId w:val="5"/>
      </w:numPr>
    </w:pPr>
  </w:style>
  <w:style w:type="table" w:styleId="TableGrid">
    <w:name w:val="Table Grid"/>
    <w:aliases w:val="Simple Table"/>
    <w:basedOn w:val="TableNormal"/>
    <w:uiPriority w:val="39"/>
    <w:rsid w:val="00FB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191"/>
    <w:rPr>
      <w:color w:val="0000FF" w:themeColor="hyperlink"/>
      <w:u w:val="single"/>
    </w:rPr>
  </w:style>
  <w:style w:type="character" w:styleId="UnresolvedMention">
    <w:name w:val="Unresolved Mention"/>
    <w:basedOn w:val="DefaultParagraphFont"/>
    <w:uiPriority w:val="99"/>
    <w:semiHidden/>
    <w:unhideWhenUsed/>
    <w:rsid w:val="00D37191"/>
    <w:rPr>
      <w:color w:val="808080"/>
      <w:shd w:val="clear" w:color="auto" w:fill="E6E6E6"/>
    </w:rPr>
  </w:style>
  <w:style w:type="table" w:customStyle="1" w:styleId="SimpleTable2">
    <w:name w:val="Simple Table2"/>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TableFigureLevel1Bullet">
    <w:name w:val="Table / Figure Level 1 Bullet"/>
    <w:rsid w:val="00B14381"/>
    <w:pPr>
      <w:widowControl/>
      <w:numPr>
        <w:numId w:val="6"/>
      </w:numPr>
      <w:tabs>
        <w:tab w:val="clear" w:pos="284"/>
        <w:tab w:val="num" w:pos="176"/>
      </w:tabs>
      <w:autoSpaceDE/>
      <w:autoSpaceDN/>
      <w:spacing w:before="40" w:after="40"/>
      <w:ind w:left="176" w:hanging="176"/>
    </w:pPr>
    <w:rPr>
      <w:rFonts w:ascii="Arial Narrow" w:eastAsia="SimSun" w:hAnsi="Arial Narrow" w:cs="Times New Roman"/>
      <w:sz w:val="18"/>
      <w:szCs w:val="18"/>
      <w:lang w:val="en-AU" w:eastAsia="en-AU"/>
    </w:rPr>
  </w:style>
  <w:style w:type="table" w:customStyle="1" w:styleId="SimpleTable3">
    <w:name w:val="Simple Table3"/>
    <w:basedOn w:val="TableNormal"/>
    <w:next w:val="TableGrid"/>
    <w:uiPriority w:val="39"/>
    <w:rsid w:val="00B14381"/>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Default">
    <w:name w:val="Default"/>
    <w:rsid w:val="0087479A"/>
    <w:pPr>
      <w:widowControl/>
      <w:adjustRightInd w:val="0"/>
    </w:pPr>
    <w:rPr>
      <w:rFonts w:ascii="Times New Roman" w:hAnsi="Times New Roman" w:cs="Times New Roman"/>
      <w:color w:val="000000"/>
      <w:sz w:val="24"/>
      <w:szCs w:val="24"/>
      <w:lang w:val="en-AU"/>
    </w:rPr>
  </w:style>
  <w:style w:type="character" w:styleId="CommentReference">
    <w:name w:val="annotation reference"/>
    <w:basedOn w:val="DefaultParagraphFont"/>
    <w:uiPriority w:val="99"/>
    <w:semiHidden/>
    <w:unhideWhenUsed/>
    <w:rsid w:val="00F819E1"/>
    <w:rPr>
      <w:sz w:val="16"/>
      <w:szCs w:val="16"/>
    </w:rPr>
  </w:style>
  <w:style w:type="paragraph" w:styleId="CommentText">
    <w:name w:val="annotation text"/>
    <w:basedOn w:val="Normal"/>
    <w:link w:val="CommentTextChar"/>
    <w:uiPriority w:val="99"/>
    <w:semiHidden/>
    <w:unhideWhenUsed/>
    <w:rsid w:val="00F819E1"/>
    <w:rPr>
      <w:sz w:val="20"/>
      <w:szCs w:val="20"/>
    </w:rPr>
  </w:style>
  <w:style w:type="character" w:customStyle="1" w:styleId="CommentTextChar">
    <w:name w:val="Comment Text Char"/>
    <w:basedOn w:val="DefaultParagraphFont"/>
    <w:link w:val="CommentText"/>
    <w:uiPriority w:val="99"/>
    <w:semiHidden/>
    <w:rsid w:val="00F819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E1"/>
    <w:rPr>
      <w:b/>
      <w:bCs/>
    </w:rPr>
  </w:style>
  <w:style w:type="character" w:customStyle="1" w:styleId="CommentSubjectChar">
    <w:name w:val="Comment Subject Char"/>
    <w:basedOn w:val="CommentTextChar"/>
    <w:link w:val="CommentSubject"/>
    <w:uiPriority w:val="99"/>
    <w:semiHidden/>
    <w:rsid w:val="00F819E1"/>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F819E1"/>
    <w:rPr>
      <w:rFonts w:ascii="Segoe UI" w:hAnsi="Segoe UI" w:cs="Segoe UI"/>
      <w:sz w:val="18"/>
      <w:szCs w:val="18"/>
    </w:rPr>
  </w:style>
  <w:style w:type="character" w:customStyle="1" w:styleId="BalloonTextChar">
    <w:name w:val="Balloon Text Char"/>
    <w:basedOn w:val="DefaultParagraphFont"/>
    <w:link w:val="BalloonText"/>
    <w:uiPriority w:val="99"/>
    <w:rsid w:val="00F819E1"/>
    <w:rPr>
      <w:rFonts w:ascii="Segoe UI" w:eastAsia="Times New Roman" w:hAnsi="Segoe UI" w:cs="Segoe UI"/>
      <w:sz w:val="18"/>
      <w:szCs w:val="18"/>
    </w:rPr>
  </w:style>
  <w:style w:type="paragraph" w:customStyle="1" w:styleId="Style9">
    <w:name w:val="Style9"/>
    <w:basedOn w:val="Style4"/>
    <w:link w:val="Style9Char"/>
    <w:uiPriority w:val="1"/>
    <w:qFormat/>
    <w:rsid w:val="00B93D9E"/>
    <w:pPr>
      <w:numPr>
        <w:numId w:val="7"/>
      </w:numPr>
    </w:pPr>
  </w:style>
  <w:style w:type="paragraph" w:customStyle="1" w:styleId="TableBodyText">
    <w:name w:val="Table Body Text"/>
    <w:basedOn w:val="BodyText"/>
    <w:link w:val="TableBodyTextCharChar"/>
    <w:rsid w:val="0059043A"/>
    <w:pPr>
      <w:spacing w:before="60" w:after="60"/>
      <w:ind w:left="28"/>
    </w:pPr>
    <w:rPr>
      <w:color w:val="000000"/>
      <w:lang w:val="en-AU" w:eastAsia="en-AU"/>
    </w:rPr>
  </w:style>
  <w:style w:type="character" w:customStyle="1" w:styleId="Style9Char">
    <w:name w:val="Style9 Char"/>
    <w:basedOn w:val="Style4Char"/>
    <w:link w:val="Style9"/>
    <w:uiPriority w:val="1"/>
    <w:rsid w:val="00B93D9E"/>
    <w:rPr>
      <w:rFonts w:ascii="Arial" w:eastAsia="Times New Roman" w:hAnsi="Arial" w:cs="Arial"/>
      <w:noProof/>
      <w:sz w:val="20"/>
      <w:szCs w:val="20"/>
      <w:lang w:val="en-AU"/>
    </w:rPr>
  </w:style>
  <w:style w:type="character" w:customStyle="1" w:styleId="TableBodyTextCharChar">
    <w:name w:val="Table Body Text Char Char"/>
    <w:link w:val="TableBodyText"/>
    <w:rsid w:val="0059043A"/>
    <w:rPr>
      <w:rFonts w:ascii="Arial" w:eastAsiaTheme="minorEastAsia" w:hAnsi="Arial" w:cs="Times New Roman"/>
      <w:bCs/>
      <w:color w:val="000000"/>
      <w:sz w:val="20"/>
      <w:szCs w:val="20"/>
      <w:lang w:val="en-AU" w:eastAsia="en-AU"/>
    </w:rPr>
  </w:style>
  <w:style w:type="paragraph" w:customStyle="1" w:styleId="TableHeading">
    <w:name w:val="Table Heading"/>
    <w:basedOn w:val="BodyText"/>
    <w:link w:val="TableHeadingChar"/>
    <w:rsid w:val="004561B8"/>
    <w:pPr>
      <w:spacing w:before="60" w:after="60" w:line="240" w:lineRule="atLeast"/>
      <w:ind w:left="0"/>
    </w:pPr>
    <w:rPr>
      <w:b/>
      <w:bCs w:val="0"/>
      <w:color w:val="FFFFFF" w:themeColor="background1"/>
      <w:szCs w:val="22"/>
      <w:lang w:eastAsia="en-AU"/>
    </w:rPr>
  </w:style>
  <w:style w:type="character" w:customStyle="1" w:styleId="TableHeadingChar">
    <w:name w:val="Table Heading Char"/>
    <w:link w:val="TableHeading"/>
    <w:rsid w:val="004561B8"/>
    <w:rPr>
      <w:rFonts w:ascii="Arial" w:eastAsiaTheme="minorEastAsia" w:hAnsi="Arial" w:cs="Times New Roman"/>
      <w:b/>
      <w:color w:val="FFFFFF" w:themeColor="background1"/>
      <w:sz w:val="20"/>
      <w:lang w:eastAsia="en-AU"/>
    </w:rPr>
  </w:style>
  <w:style w:type="table" w:customStyle="1" w:styleId="TableGrid1">
    <w:name w:val="Table Grid1"/>
    <w:basedOn w:val="TableNormal"/>
    <w:next w:val="TableGrid"/>
    <w:semiHidden/>
    <w:rsid w:val="002E7CDE"/>
    <w:pPr>
      <w:keepNext/>
      <w:keepLines/>
      <w:widowControl/>
      <w:autoSpaceDE/>
      <w:autoSpaceDN/>
    </w:pPr>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2E7CDE"/>
    <w:pPr>
      <w:numPr>
        <w:numId w:val="9"/>
      </w:numPr>
    </w:pPr>
  </w:style>
  <w:style w:type="paragraph" w:styleId="Revision">
    <w:name w:val="Revision"/>
    <w:hidden/>
    <w:uiPriority w:val="99"/>
    <w:semiHidden/>
    <w:rsid w:val="00D402EC"/>
    <w:pPr>
      <w:widowControl/>
      <w:autoSpaceDE/>
      <w:autoSpaceDN/>
    </w:pPr>
    <w:rPr>
      <w:rFonts w:ascii="Times New Roman" w:eastAsia="Times New Roman" w:hAnsi="Times New Roman" w:cs="Times New Roman"/>
    </w:rPr>
  </w:style>
  <w:style w:type="table" w:customStyle="1" w:styleId="TableGrid2">
    <w:name w:val="Table Grid2"/>
    <w:basedOn w:val="TableNormal"/>
    <w:next w:val="TableGrid"/>
    <w:uiPriority w:val="39"/>
    <w:rsid w:val="0055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C02AA"/>
    <w:pPr>
      <w:keepLines/>
      <w:spacing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table" w:customStyle="1" w:styleId="TableGrid3">
    <w:name w:val="Table Grid3"/>
    <w:basedOn w:val="TableNormal"/>
    <w:next w:val="TableGrid"/>
    <w:uiPriority w:val="39"/>
    <w:rsid w:val="00E40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40242"/>
    <w:rPr>
      <w:rFonts w:ascii="ArialMT" w:hAnsi="ArialMT" w:hint="default"/>
      <w:b w:val="0"/>
      <w:bCs w:val="0"/>
      <w:i w:val="0"/>
      <w:iCs w:val="0"/>
      <w:color w:val="000000"/>
      <w:sz w:val="20"/>
      <w:szCs w:val="20"/>
    </w:rPr>
  </w:style>
  <w:style w:type="character" w:customStyle="1" w:styleId="fontstyle21">
    <w:name w:val="fontstyle21"/>
    <w:basedOn w:val="DefaultParagraphFont"/>
    <w:rsid w:val="00E40242"/>
    <w:rPr>
      <w:rFonts w:ascii="Arial-ItalicMT" w:hAnsi="Arial-ItalicMT" w:hint="default"/>
      <w:b w:val="0"/>
      <w:bCs w:val="0"/>
      <w:i/>
      <w:iCs/>
      <w:color w:val="000000"/>
      <w:sz w:val="20"/>
      <w:szCs w:val="20"/>
    </w:rPr>
  </w:style>
  <w:style w:type="character" w:customStyle="1" w:styleId="Heading5Char">
    <w:name w:val="Heading 5 Char"/>
    <w:basedOn w:val="DefaultParagraphFont"/>
    <w:link w:val="Heading5"/>
    <w:rsid w:val="00C427EC"/>
    <w:rPr>
      <w:rFonts w:ascii="Arial" w:eastAsia="Times New Roman" w:hAnsi="Arial" w:cs="Times New Roman"/>
      <w:sz w:val="20"/>
      <w:lang w:val="en-AU"/>
    </w:rPr>
  </w:style>
  <w:style w:type="character" w:customStyle="1" w:styleId="Heading6Char">
    <w:name w:val="Heading 6 Char"/>
    <w:basedOn w:val="DefaultParagraphFont"/>
    <w:link w:val="Heading6"/>
    <w:rsid w:val="00C427EC"/>
    <w:rPr>
      <w:rFonts w:ascii="Arial" w:eastAsia="Times New Roman" w:hAnsi="Arial" w:cs="Times New Roman"/>
      <w:bCs/>
      <w:sz w:val="20"/>
      <w:lang w:val="en-AU"/>
    </w:rPr>
  </w:style>
  <w:style w:type="paragraph" w:customStyle="1" w:styleId="Heading5SS">
    <w:name w:val="Heading 5 +SS"/>
    <w:basedOn w:val="Heading5"/>
    <w:rsid w:val="00485E41"/>
    <w:pPr>
      <w:keepNext w:val="0"/>
      <w:tabs>
        <w:tab w:val="clear" w:pos="1021"/>
        <w:tab w:val="left" w:pos="454"/>
      </w:tabs>
      <w:spacing w:after="0"/>
      <w:ind w:left="454"/>
      <w:outlineLvl w:val="9"/>
    </w:pPr>
  </w:style>
  <w:style w:type="paragraph" w:customStyle="1" w:styleId="Style10">
    <w:name w:val="Style10"/>
    <w:link w:val="Style10Char"/>
    <w:uiPriority w:val="1"/>
    <w:qFormat/>
    <w:rsid w:val="00761330"/>
    <w:pPr>
      <w:ind w:left="709"/>
    </w:pPr>
    <w:rPr>
      <w:rFonts w:ascii="Arial" w:eastAsia="Times New Roman" w:hAnsi="Arial" w:cs="Arial"/>
      <w:b/>
      <w:bCs/>
      <w:sz w:val="20"/>
      <w:szCs w:val="20"/>
      <w:lang w:val="en-AU"/>
    </w:rPr>
  </w:style>
  <w:style w:type="table" w:customStyle="1" w:styleId="SimpleTable4">
    <w:name w:val="Simple Table4"/>
    <w:basedOn w:val="TableNormal"/>
    <w:next w:val="TableGrid"/>
    <w:uiPriority w:val="39"/>
    <w:rsid w:val="004845D9"/>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character" w:customStyle="1" w:styleId="Style10Char">
    <w:name w:val="Style10 Char"/>
    <w:basedOn w:val="DefaultParagraphFont"/>
    <w:link w:val="Style10"/>
    <w:uiPriority w:val="1"/>
    <w:rsid w:val="00761330"/>
    <w:rPr>
      <w:rFonts w:ascii="Arial" w:eastAsia="Times New Roman" w:hAnsi="Arial" w:cs="Arial"/>
      <w:b/>
      <w:bCs/>
      <w:sz w:val="20"/>
      <w:szCs w:val="20"/>
      <w:lang w:val="en-AU"/>
    </w:rPr>
  </w:style>
  <w:style w:type="table" w:customStyle="1" w:styleId="SimpleTable5">
    <w:name w:val="Simple Table5"/>
    <w:basedOn w:val="TableNormal"/>
    <w:next w:val="TableGrid"/>
    <w:uiPriority w:val="39"/>
    <w:rsid w:val="002E4E55"/>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table" w:customStyle="1" w:styleId="SimpleTable6">
    <w:name w:val="Simple Table6"/>
    <w:basedOn w:val="TableNormal"/>
    <w:next w:val="TableGrid"/>
    <w:uiPriority w:val="39"/>
    <w:rsid w:val="00A50483"/>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paragraph" w:customStyle="1" w:styleId="Style11">
    <w:name w:val="Style11"/>
    <w:link w:val="Style11Char"/>
    <w:qFormat/>
    <w:rsid w:val="00E95F72"/>
    <w:pPr>
      <w:spacing w:before="120"/>
      <w:ind w:left="709" w:hanging="709"/>
    </w:pPr>
    <w:rPr>
      <w:rFonts w:ascii="Arial" w:eastAsia="SimSun" w:hAnsi="Arial" w:cs="Arial"/>
      <w:b/>
      <w:bCs/>
      <w:lang w:val="en-AU" w:eastAsia="ja-JP"/>
    </w:rPr>
  </w:style>
  <w:style w:type="character" w:customStyle="1" w:styleId="Style11Char">
    <w:name w:val="Style11 Char"/>
    <w:basedOn w:val="DefaultParagraphFont"/>
    <w:link w:val="Style11"/>
    <w:rsid w:val="00E95F72"/>
    <w:rPr>
      <w:rFonts w:ascii="Arial" w:eastAsia="SimSun" w:hAnsi="Arial" w:cs="Arial"/>
      <w:b/>
      <w:bCs/>
      <w:lang w:val="en-AU" w:eastAsia="ja-JP"/>
    </w:rPr>
  </w:style>
  <w:style w:type="table" w:customStyle="1" w:styleId="SimpleTable7">
    <w:name w:val="Simple Table7"/>
    <w:basedOn w:val="TableNormal"/>
    <w:next w:val="TableGrid"/>
    <w:uiPriority w:val="39"/>
    <w:rsid w:val="0093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7CD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B49B7"/>
    <w:rPr>
      <w:rFonts w:ascii="Arial" w:eastAsia="Times New Roman" w:hAnsi="Arial" w:cs="Arial"/>
      <w:b/>
      <w:bCs/>
      <w:color w:val="004259"/>
      <w:sz w:val="28"/>
      <w:szCs w:val="26"/>
      <w:lang w:val="en-AU"/>
    </w:rPr>
  </w:style>
  <w:style w:type="paragraph" w:customStyle="1" w:styleId="Style13">
    <w:name w:val="Style13"/>
    <w:basedOn w:val="ListParagraph"/>
    <w:link w:val="Style13Char"/>
    <w:qFormat/>
    <w:rsid w:val="00950912"/>
    <w:pPr>
      <w:widowControl/>
      <w:autoSpaceDE/>
      <w:autoSpaceDN/>
      <w:spacing w:before="180"/>
      <w:ind w:left="1002" w:hanging="576"/>
    </w:pPr>
    <w:rPr>
      <w:rFonts w:ascii="Arial" w:eastAsiaTheme="minorEastAsia" w:hAnsi="Arial"/>
      <w:sz w:val="20"/>
      <w:szCs w:val="20"/>
      <w:lang w:val="en-US" w:eastAsia="ja-JP"/>
    </w:rPr>
  </w:style>
  <w:style w:type="character" w:customStyle="1" w:styleId="Style13Char">
    <w:name w:val="Style13 Char"/>
    <w:basedOn w:val="ListParagraphChar"/>
    <w:link w:val="Style13"/>
    <w:rsid w:val="00950912"/>
    <w:rPr>
      <w:rFonts w:ascii="Arial" w:eastAsiaTheme="minorEastAsia" w:hAnsi="Arial" w:cs="Times New Roman"/>
      <w:sz w:val="20"/>
      <w:szCs w:val="20"/>
      <w:lang w:eastAsia="ja-JP"/>
    </w:rPr>
  </w:style>
  <w:style w:type="character" w:customStyle="1" w:styleId="Heading7Char">
    <w:name w:val="Heading 7 Char"/>
    <w:basedOn w:val="DefaultParagraphFont"/>
    <w:link w:val="Heading7"/>
    <w:rsid w:val="000940DD"/>
    <w:rPr>
      <w:rFonts w:asciiTheme="majorHAnsi" w:eastAsiaTheme="majorEastAsia" w:hAnsiTheme="majorHAnsi" w:cstheme="majorBidi"/>
      <w:i/>
      <w:iCs/>
      <w:color w:val="404040" w:themeColor="text1" w:themeTint="BF"/>
      <w:sz w:val="18"/>
      <w:szCs w:val="18"/>
      <w:lang w:eastAsia="ja-JP"/>
    </w:rPr>
  </w:style>
  <w:style w:type="character" w:customStyle="1" w:styleId="Heading8Char">
    <w:name w:val="Heading 8 Char"/>
    <w:basedOn w:val="DefaultParagraphFont"/>
    <w:link w:val="Heading8"/>
    <w:rsid w:val="000940DD"/>
    <w:rPr>
      <w:rFonts w:asciiTheme="majorHAnsi" w:eastAsiaTheme="majorEastAsia" w:hAnsiTheme="majorHAnsi" w:cstheme="majorBidi"/>
      <w:color w:val="404040" w:themeColor="text1" w:themeTint="BF"/>
      <w:sz w:val="18"/>
      <w:szCs w:val="20"/>
      <w:lang w:eastAsia="ja-JP"/>
    </w:rPr>
  </w:style>
  <w:style w:type="character" w:customStyle="1" w:styleId="Heading9Char">
    <w:name w:val="Heading 9 Char"/>
    <w:basedOn w:val="DefaultParagraphFont"/>
    <w:link w:val="Heading9"/>
    <w:rsid w:val="000940DD"/>
    <w:rPr>
      <w:rFonts w:asciiTheme="majorHAnsi" w:eastAsiaTheme="majorEastAsia" w:hAnsiTheme="majorHAnsi" w:cstheme="majorBidi"/>
      <w:i/>
      <w:iCs/>
      <w:color w:val="404040" w:themeColor="text1" w:themeTint="BF"/>
      <w:sz w:val="18"/>
      <w:szCs w:val="20"/>
      <w:lang w:eastAsia="ja-JP"/>
    </w:rPr>
  </w:style>
  <w:style w:type="paragraph" w:customStyle="1" w:styleId="TableHeader">
    <w:name w:val="Table Header"/>
    <w:rsid w:val="004561B8"/>
    <w:pPr>
      <w:keepNext/>
      <w:widowControl/>
      <w:autoSpaceDE/>
      <w:autoSpaceDN/>
      <w:spacing w:before="40" w:after="40"/>
    </w:pPr>
    <w:rPr>
      <w:rFonts w:ascii="Arial" w:eastAsia="SimSun" w:hAnsi="Arial" w:cs="Arial"/>
      <w:b/>
      <w:bCs/>
      <w:sz w:val="20"/>
      <w:szCs w:val="20"/>
      <w:shd w:val="clear" w:color="auto" w:fill="000000"/>
      <w:lang w:val="en-AU" w:eastAsia="en-AU"/>
    </w:rPr>
  </w:style>
  <w:style w:type="paragraph" w:customStyle="1" w:styleId="TableFigureLeft">
    <w:name w:val="Table / Figure Left"/>
    <w:rsid w:val="00AF1D72"/>
    <w:pPr>
      <w:widowControl/>
      <w:autoSpaceDE/>
      <w:autoSpaceDN/>
      <w:spacing w:before="40" w:after="40" w:line="240" w:lineRule="atLeast"/>
    </w:pPr>
    <w:rPr>
      <w:rFonts w:ascii="Arial Narrow" w:eastAsia="Times New Roman" w:hAnsi="Arial Narrow" w:cs="Times New Roman"/>
      <w:sz w:val="18"/>
      <w:szCs w:val="18"/>
      <w:lang w:val="en-AU" w:eastAsia="en-AU"/>
    </w:rPr>
  </w:style>
  <w:style w:type="paragraph" w:customStyle="1" w:styleId="CommentaryHeading1">
    <w:name w:val="Commentary Heading 1"/>
    <w:next w:val="Paragraph"/>
    <w:rsid w:val="00AF1D72"/>
    <w:pPr>
      <w:widowControl/>
      <w:numPr>
        <w:numId w:val="12"/>
      </w:numPr>
      <w:autoSpaceDE/>
      <w:autoSpaceDN/>
      <w:spacing w:before="240" w:after="240" w:line="240" w:lineRule="atLeast"/>
      <w:outlineLvl w:val="0"/>
    </w:pPr>
    <w:rPr>
      <w:rFonts w:ascii="Arial" w:eastAsia="Times New Roman" w:hAnsi="Arial" w:cs="Times New Roman"/>
      <w:b/>
      <w:caps/>
      <w:sz w:val="32"/>
      <w:szCs w:val="32"/>
      <w:lang w:val="en-AU" w:eastAsia="en-AU"/>
    </w:rPr>
  </w:style>
  <w:style w:type="paragraph" w:customStyle="1" w:styleId="CommentaryHeading2">
    <w:name w:val="Commentary Heading 2"/>
    <w:next w:val="Paragraph"/>
    <w:rsid w:val="00AF1D72"/>
    <w:pPr>
      <w:widowControl/>
      <w:numPr>
        <w:ilvl w:val="1"/>
        <w:numId w:val="12"/>
      </w:numPr>
      <w:autoSpaceDE/>
      <w:autoSpaceDN/>
      <w:spacing w:before="120" w:after="120" w:line="240" w:lineRule="atLeast"/>
      <w:outlineLvl w:val="1"/>
    </w:pPr>
    <w:rPr>
      <w:rFonts w:ascii="Arial" w:eastAsia="Times New Roman" w:hAnsi="Arial" w:cs="Times New Roman"/>
      <w:b/>
      <w:sz w:val="28"/>
      <w:lang w:val="en-AU" w:eastAsia="en-AU"/>
    </w:rPr>
  </w:style>
  <w:style w:type="paragraph" w:customStyle="1" w:styleId="CommentaryHeading3">
    <w:name w:val="Commentary Heading 3"/>
    <w:next w:val="Paragraph"/>
    <w:rsid w:val="00AF1D72"/>
    <w:pPr>
      <w:widowControl/>
      <w:numPr>
        <w:ilvl w:val="2"/>
        <w:numId w:val="12"/>
      </w:numPr>
      <w:autoSpaceDE/>
      <w:autoSpaceDN/>
      <w:spacing w:before="120" w:after="120" w:line="240" w:lineRule="atLeast"/>
      <w:outlineLvl w:val="2"/>
    </w:pPr>
    <w:rPr>
      <w:rFonts w:ascii="Arial" w:eastAsia="Times New Roman" w:hAnsi="Arial" w:cs="Times New Roman"/>
      <w:b/>
      <w:i/>
      <w:lang w:val="en-AU" w:eastAsia="en-AU"/>
    </w:rPr>
  </w:style>
  <w:style w:type="paragraph" w:customStyle="1" w:styleId="TableFigureCenter">
    <w:name w:val="Table / Figure Center"/>
    <w:rsid w:val="00AF1D72"/>
    <w:pPr>
      <w:widowControl/>
      <w:autoSpaceDE/>
      <w:autoSpaceDN/>
      <w:spacing w:before="40" w:after="40" w:line="240" w:lineRule="atLeast"/>
      <w:jc w:val="center"/>
    </w:pPr>
    <w:rPr>
      <w:rFonts w:ascii="Arial Narrow" w:eastAsia="Times New Roman" w:hAnsi="Arial Narrow" w:cs="Times New Roman"/>
      <w:sz w:val="18"/>
      <w:szCs w:val="18"/>
      <w:lang w:val="en-AU" w:eastAsia="en-AU"/>
    </w:rPr>
  </w:style>
  <w:style w:type="table" w:customStyle="1" w:styleId="TMTable">
    <w:name w:val="TM Table"/>
    <w:basedOn w:val="TableNormal"/>
    <w:uiPriority w:val="99"/>
    <w:rsid w:val="00AF1D72"/>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customStyle="1" w:styleId="Heading1nonumber">
    <w:name w:val="Heading 1 no number"/>
    <w:basedOn w:val="Heading1RestartNumbering"/>
    <w:uiPriority w:val="1"/>
    <w:qFormat/>
    <w:rsid w:val="006B49B7"/>
    <w:pPr>
      <w:numPr>
        <w:numId w:val="0"/>
      </w:numPr>
    </w:pPr>
    <w:rPr>
      <w:rFonts w:ascii="Arial" w:hAnsi="Arial"/>
      <w:b/>
      <w:bCs/>
      <w:sz w:val="28"/>
      <w:szCs w:val="32"/>
    </w:rPr>
  </w:style>
  <w:style w:type="paragraph" w:styleId="BodyTextIndent">
    <w:name w:val="Body Text Indent"/>
    <w:basedOn w:val="Normal"/>
    <w:link w:val="BodyTextIndentChar"/>
    <w:uiPriority w:val="99"/>
    <w:unhideWhenUsed/>
    <w:rsid w:val="00A54C0A"/>
    <w:pPr>
      <w:keepLines/>
      <w:widowControl/>
      <w:spacing w:before="240" w:after="120"/>
      <w:ind w:left="567"/>
    </w:pPr>
    <w:rPr>
      <w:rFonts w:ascii="Arial" w:hAnsi="Arial"/>
      <w:bCs/>
      <w:sz w:val="20"/>
    </w:rPr>
  </w:style>
  <w:style w:type="character" w:customStyle="1" w:styleId="BodyTextIndentChar">
    <w:name w:val="Body Text Indent Char"/>
    <w:basedOn w:val="DefaultParagraphFont"/>
    <w:link w:val="BodyTextIndent"/>
    <w:uiPriority w:val="99"/>
    <w:rsid w:val="00A54C0A"/>
    <w:rPr>
      <w:rFonts w:ascii="Arial" w:eastAsia="Times New Roman" w:hAnsi="Arial" w:cs="Times New Roman"/>
      <w:bCs/>
      <w:sz w:val="20"/>
      <w:lang w:val="en-AU"/>
    </w:rPr>
  </w:style>
  <w:style w:type="paragraph" w:styleId="BodyTextFirstIndent">
    <w:name w:val="Body Text First Indent"/>
    <w:basedOn w:val="BodyText"/>
    <w:link w:val="BodyTextFirstIndentChar"/>
    <w:uiPriority w:val="99"/>
    <w:unhideWhenUsed/>
    <w:rsid w:val="004561B8"/>
    <w:pPr>
      <w:widowControl w:val="0"/>
      <w:autoSpaceDE w:val="0"/>
      <w:autoSpaceDN w:val="0"/>
      <w:spacing w:before="0"/>
      <w:ind w:left="0" w:firstLine="360"/>
    </w:pPr>
    <w:rPr>
      <w:rFonts w:ascii="Times New Roman" w:eastAsia="Times New Roman" w:hAnsi="Times New Roman"/>
      <w:bCs w:val="0"/>
      <w:sz w:val="22"/>
      <w:szCs w:val="22"/>
      <w:lang w:val="en-AU" w:eastAsia="en-US"/>
    </w:rPr>
  </w:style>
  <w:style w:type="character" w:customStyle="1" w:styleId="BodyTextFirstIndentChar">
    <w:name w:val="Body Text First Indent Char"/>
    <w:basedOn w:val="BodyTextChar"/>
    <w:link w:val="BodyTextFirstIndent"/>
    <w:uiPriority w:val="99"/>
    <w:rsid w:val="004561B8"/>
    <w:rPr>
      <w:rFonts w:ascii="Times New Roman" w:eastAsia="Times New Roman" w:hAnsi="Times New Roman" w:cs="Times New Roman"/>
      <w:bCs w:val="0"/>
      <w:sz w:val="20"/>
      <w:szCs w:val="20"/>
      <w:lang w:val="en-AU" w:eastAsia="ja-JP"/>
    </w:rPr>
  </w:style>
  <w:style w:type="paragraph" w:styleId="Caption">
    <w:name w:val="caption"/>
    <w:basedOn w:val="Normal"/>
    <w:next w:val="Normal"/>
    <w:uiPriority w:val="35"/>
    <w:unhideWhenUsed/>
    <w:qFormat/>
    <w:rsid w:val="00D9206B"/>
    <w:pPr>
      <w:keepNext/>
      <w:spacing w:before="240" w:after="120"/>
      <w:ind w:left="1134" w:hanging="567"/>
    </w:pPr>
    <w:rPr>
      <w:rFonts w:ascii="Arial" w:eastAsia="Arial" w:hAnsi="Arial" w:cs="Arial"/>
      <w:b/>
      <w:bCs/>
      <w:sz w:val="18"/>
      <w:szCs w:val="18"/>
      <w:lang w:eastAsia="en-AU"/>
    </w:rPr>
  </w:style>
  <w:style w:type="paragraph" w:styleId="NoteHeading">
    <w:name w:val="Note Heading"/>
    <w:basedOn w:val="Normal"/>
    <w:next w:val="Normal"/>
    <w:link w:val="NoteHeadingChar"/>
    <w:uiPriority w:val="99"/>
    <w:unhideWhenUsed/>
    <w:rsid w:val="00CE6502"/>
    <w:pPr>
      <w:keepLines/>
      <w:widowControl/>
      <w:tabs>
        <w:tab w:val="left" w:pos="1276"/>
      </w:tabs>
      <w:autoSpaceDE/>
      <w:autoSpaceDN/>
      <w:spacing w:before="240"/>
      <w:ind w:left="425"/>
    </w:pPr>
    <w:rPr>
      <w:rFonts w:ascii="Arial" w:hAnsi="Arial" w:cs="Arial"/>
      <w:b/>
      <w:bCs/>
      <w:i/>
      <w:iCs/>
      <w:sz w:val="18"/>
      <w:szCs w:val="18"/>
    </w:rPr>
  </w:style>
  <w:style w:type="character" w:customStyle="1" w:styleId="NoteHeadingChar">
    <w:name w:val="Note Heading Char"/>
    <w:basedOn w:val="DefaultParagraphFont"/>
    <w:link w:val="NoteHeading"/>
    <w:uiPriority w:val="99"/>
    <w:rsid w:val="00CE6502"/>
    <w:rPr>
      <w:rFonts w:ascii="Arial" w:eastAsia="Times New Roman" w:hAnsi="Arial" w:cs="Arial"/>
      <w:b/>
      <w:bCs/>
      <w:i/>
      <w:iCs/>
      <w:sz w:val="18"/>
      <w:szCs w:val="18"/>
      <w:lang w:val="en-AU"/>
    </w:rPr>
  </w:style>
  <w:style w:type="paragraph" w:customStyle="1" w:styleId="Notes">
    <w:name w:val="Notes"/>
    <w:basedOn w:val="ListParagraph"/>
    <w:uiPriority w:val="1"/>
    <w:qFormat/>
    <w:rsid w:val="003772BF"/>
    <w:pPr>
      <w:keepLines/>
      <w:widowControl/>
      <w:numPr>
        <w:numId w:val="14"/>
      </w:numPr>
      <w:tabs>
        <w:tab w:val="left" w:pos="1276"/>
      </w:tabs>
      <w:autoSpaceDE/>
      <w:autoSpaceDN/>
      <w:spacing w:before="120" w:after="120"/>
      <w:ind w:left="709" w:hanging="284"/>
    </w:pPr>
    <w:rPr>
      <w:rFonts w:ascii="Arial" w:hAnsi="Arial" w:cs="Arial"/>
      <w:i/>
      <w:iCs/>
      <w:sz w:val="18"/>
      <w:szCs w:val="18"/>
    </w:rPr>
  </w:style>
  <w:style w:type="paragraph" w:customStyle="1" w:styleId="PubTableBullet1">
    <w:name w:val="Pub Table Bullet 1"/>
    <w:basedOn w:val="Normal"/>
    <w:uiPriority w:val="3"/>
    <w:qFormat/>
    <w:rsid w:val="003F4501"/>
    <w:pPr>
      <w:widowControl/>
      <w:numPr>
        <w:numId w:val="15"/>
      </w:numPr>
      <w:autoSpaceDE/>
      <w:autoSpaceDN/>
      <w:spacing w:before="40" w:after="40"/>
      <w:ind w:left="206" w:hanging="206"/>
    </w:pPr>
    <w:rPr>
      <w:rFonts w:ascii="Arial" w:eastAsiaTheme="minorHAnsi" w:hAnsi="Arial" w:cstheme="minorBidi"/>
      <w:sz w:val="16"/>
      <w:szCs w:val="16"/>
    </w:rPr>
  </w:style>
  <w:style w:type="paragraph" w:customStyle="1" w:styleId="TableBullet2">
    <w:name w:val="Table Bullet 2"/>
    <w:basedOn w:val="PubTableBullet1"/>
    <w:uiPriority w:val="3"/>
    <w:qFormat/>
    <w:rsid w:val="003F4501"/>
    <w:pPr>
      <w:numPr>
        <w:ilvl w:val="1"/>
      </w:numPr>
      <w:spacing w:before="20" w:after="20"/>
      <w:ind w:left="447" w:hanging="141"/>
    </w:pPr>
    <w:rPr>
      <w:sz w:val="18"/>
    </w:rPr>
  </w:style>
  <w:style w:type="paragraph" w:customStyle="1" w:styleId="TableBullet3">
    <w:name w:val="Table Bullet 3"/>
    <w:basedOn w:val="TableBullet2"/>
    <w:uiPriority w:val="3"/>
    <w:qFormat/>
    <w:rsid w:val="003F4501"/>
    <w:pPr>
      <w:numPr>
        <w:ilvl w:val="2"/>
      </w:numPr>
      <w:ind w:left="731" w:hanging="142"/>
    </w:pPr>
  </w:style>
  <w:style w:type="numbering" w:styleId="111111">
    <w:name w:val="Outline List 2"/>
    <w:basedOn w:val="NoList"/>
    <w:semiHidden/>
    <w:rsid w:val="00C2036C"/>
    <w:pPr>
      <w:numPr>
        <w:numId w:val="16"/>
      </w:numPr>
    </w:pPr>
  </w:style>
  <w:style w:type="paragraph" w:styleId="BlockText">
    <w:name w:val="Block Text"/>
    <w:basedOn w:val="Normal"/>
    <w:uiPriority w:val="99"/>
    <w:unhideWhenUsed/>
    <w:rsid w:val="00627CF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table" w:customStyle="1" w:styleId="MainTableStyle">
    <w:name w:val="Main Table Style"/>
    <w:basedOn w:val="TableNormal"/>
    <w:uiPriority w:val="99"/>
    <w:rsid w:val="00627CFE"/>
    <w:pPr>
      <w:widowControl/>
      <w:autoSpaceDE/>
      <w:autoSpaceDN/>
      <w:spacing w:before="80" w:after="80"/>
    </w:pPr>
    <w:rPr>
      <w:rFonts w:ascii="Arial" w:hAnsi="Arial"/>
      <w:sz w:val="18"/>
      <w:lang w:val="en-AU"/>
    </w:rPr>
    <w:tblPr>
      <w:tblBorders>
        <w:top w:val="single" w:sz="4" w:space="0" w:color="FFFFFF" w:themeColor="background1"/>
        <w:left w:val="single" w:sz="4" w:space="0" w:color="FFFFFF" w:themeColor="background1"/>
        <w:bottom w:val="single" w:sz="12" w:space="0" w:color="427D97"/>
        <w:right w:val="single" w:sz="4" w:space="0" w:color="FFFFFF" w:themeColor="background1"/>
        <w:insideH w:val="single" w:sz="6" w:space="0" w:color="FFFFFF" w:themeColor="background1"/>
        <w:insideV w:val="single" w:sz="6" w:space="0" w:color="FFFFFF" w:themeColor="background1"/>
      </w:tblBorders>
    </w:tblPr>
    <w:tcPr>
      <w:shd w:val="clear" w:color="auto" w:fill="C5D3DD"/>
    </w:tcPr>
    <w:tblStylePr w:type="firstRow">
      <w:pPr>
        <w:keepNext/>
        <w:keepLines/>
        <w:widowControl/>
        <w:wordWrap/>
        <w:spacing w:beforeLines="0" w:beforeAutospacing="0" w:afterLines="0" w:afterAutospacing="0" w:line="240" w:lineRule="auto"/>
        <w:jc w:val="left"/>
      </w:pPr>
      <w:rPr>
        <w:rFonts w:ascii="Arial" w:hAnsi="Arial"/>
        <w:b/>
        <w:color w:val="FFFFFF" w:themeColor="background1"/>
        <w:sz w:val="18"/>
      </w:rPr>
      <w:tblPr/>
      <w:tcPr>
        <w:shd w:val="clear" w:color="auto" w:fill="427D97"/>
      </w:tcPr>
    </w:tblStylePr>
    <w:tblStylePr w:type="lastRow">
      <w:pPr>
        <w:keepLines/>
        <w:widowControl/>
        <w:wordWrap/>
        <w:jc w:val="left"/>
      </w:pPr>
      <w:rPr>
        <w:b/>
      </w:rPr>
      <w:tblPr/>
      <w:tcPr>
        <w:shd w:val="clear" w:color="auto" w:fill="C5D3DD"/>
      </w:tcPr>
    </w:tblStylePr>
  </w:style>
  <w:style w:type="paragraph" w:customStyle="1" w:styleId="Tabletext">
    <w:name w:val="Table text"/>
    <w:basedOn w:val="Normal"/>
    <w:rsid w:val="00627CFE"/>
    <w:pPr>
      <w:widowControl/>
      <w:autoSpaceDE/>
      <w:autoSpaceDN/>
      <w:spacing w:before="60" w:after="60"/>
      <w:ind w:left="2268" w:hanging="1417"/>
    </w:pPr>
    <w:rPr>
      <w:rFonts w:ascii="Arial" w:eastAsia="Calibri" w:hAnsi="Arial"/>
      <w:kern w:val="20"/>
      <w:sz w:val="18"/>
      <w:szCs w:val="20"/>
      <w:lang w:val="en-US"/>
    </w:rPr>
  </w:style>
  <w:style w:type="paragraph" w:customStyle="1" w:styleId="Style15">
    <w:name w:val="Style15"/>
    <w:basedOn w:val="Normal"/>
    <w:link w:val="Style15Char"/>
    <w:qFormat/>
    <w:rsid w:val="00C741C0"/>
    <w:pPr>
      <w:widowControl/>
      <w:autoSpaceDE/>
      <w:autoSpaceDN/>
      <w:spacing w:after="160"/>
      <w:ind w:left="1002" w:hanging="576"/>
    </w:pPr>
    <w:rPr>
      <w:rFonts w:ascii="Arial" w:eastAsiaTheme="minorEastAsia" w:hAnsi="Arial" w:cstheme="minorBidi"/>
      <w:sz w:val="20"/>
      <w:szCs w:val="20"/>
      <w:lang w:val="en-US" w:eastAsia="ja-JP"/>
    </w:rPr>
  </w:style>
  <w:style w:type="character" w:customStyle="1" w:styleId="Style15Char">
    <w:name w:val="Style15 Char"/>
    <w:basedOn w:val="DefaultParagraphFont"/>
    <w:link w:val="Style15"/>
    <w:rsid w:val="00C741C0"/>
    <w:rPr>
      <w:rFonts w:ascii="Arial" w:eastAsiaTheme="minorEastAsia" w:hAnsi="Arial"/>
      <w:sz w:val="20"/>
      <w:szCs w:val="20"/>
      <w:lang w:eastAsia="ja-JP"/>
    </w:rPr>
  </w:style>
  <w:style w:type="paragraph" w:customStyle="1" w:styleId="Style12">
    <w:name w:val="Style12"/>
    <w:basedOn w:val="Normal"/>
    <w:link w:val="Style12Char"/>
    <w:qFormat/>
    <w:rsid w:val="00170376"/>
    <w:pPr>
      <w:numPr>
        <w:numId w:val="17"/>
      </w:numPr>
      <w:tabs>
        <w:tab w:val="left" w:pos="1701"/>
      </w:tabs>
      <w:spacing w:before="119"/>
      <w:ind w:right="306"/>
    </w:pPr>
    <w:rPr>
      <w:rFonts w:ascii="Arial" w:eastAsiaTheme="minorEastAsia" w:hAnsi="Arial" w:cstheme="minorBidi"/>
      <w:sz w:val="18"/>
      <w:szCs w:val="18"/>
      <w:lang w:val="en-US" w:eastAsia="ja-JP"/>
    </w:rPr>
  </w:style>
  <w:style w:type="character" w:customStyle="1" w:styleId="Style12Char">
    <w:name w:val="Style12 Char"/>
    <w:basedOn w:val="DefaultParagraphFont"/>
    <w:link w:val="Style12"/>
    <w:rsid w:val="00170376"/>
    <w:rPr>
      <w:rFonts w:ascii="Arial" w:eastAsiaTheme="minorEastAsia" w:hAnsi="Arial"/>
      <w:sz w:val="18"/>
      <w:szCs w:val="18"/>
      <w:lang w:eastAsia="ja-JP"/>
    </w:rPr>
  </w:style>
  <w:style w:type="paragraph" w:styleId="BodyTextIndent2">
    <w:name w:val="Body Text Indent 2"/>
    <w:basedOn w:val="BodyTextIndent"/>
    <w:link w:val="BodyTextIndent2Char"/>
    <w:uiPriority w:val="99"/>
    <w:unhideWhenUsed/>
    <w:rsid w:val="00170376"/>
    <w:pPr>
      <w:spacing w:before="120"/>
      <w:ind w:left="1418"/>
    </w:pPr>
  </w:style>
  <w:style w:type="character" w:customStyle="1" w:styleId="BodyTextIndent2Char">
    <w:name w:val="Body Text Indent 2 Char"/>
    <w:basedOn w:val="DefaultParagraphFont"/>
    <w:link w:val="BodyTextIndent2"/>
    <w:uiPriority w:val="99"/>
    <w:rsid w:val="00170376"/>
    <w:rPr>
      <w:rFonts w:ascii="Arial" w:eastAsia="Times New Roman" w:hAnsi="Arial" w:cs="Times New Roman"/>
      <w:sz w:val="20"/>
      <w:lang w:val="en-AU"/>
    </w:rPr>
  </w:style>
  <w:style w:type="paragraph" w:styleId="BodyTextFirstIndent2">
    <w:name w:val="Body Text First Indent 2"/>
    <w:basedOn w:val="BodyTextIndent"/>
    <w:link w:val="BodyTextFirstIndent2Char"/>
    <w:uiPriority w:val="99"/>
    <w:unhideWhenUsed/>
    <w:rsid w:val="002D09CA"/>
    <w:pPr>
      <w:spacing w:before="0" w:after="0"/>
      <w:ind w:left="360" w:firstLine="360"/>
    </w:pPr>
    <w:rPr>
      <w:rFonts w:ascii="Times New Roman" w:hAnsi="Times New Roman"/>
      <w:sz w:val="22"/>
    </w:rPr>
  </w:style>
  <w:style w:type="character" w:customStyle="1" w:styleId="BodyTextFirstIndent2Char">
    <w:name w:val="Body Text First Indent 2 Char"/>
    <w:basedOn w:val="BodyTextIndentChar"/>
    <w:link w:val="BodyTextFirstIndent2"/>
    <w:uiPriority w:val="99"/>
    <w:rsid w:val="002D09CA"/>
    <w:rPr>
      <w:rFonts w:ascii="Times New Roman" w:eastAsia="Times New Roman" w:hAnsi="Times New Roman" w:cs="Times New Roman"/>
      <w:bCs/>
      <w:sz w:val="20"/>
      <w:lang w:val="en-AU"/>
    </w:rPr>
  </w:style>
  <w:style w:type="character" w:customStyle="1" w:styleId="Style14Char">
    <w:name w:val="Style14 Char"/>
    <w:basedOn w:val="DefaultParagraphFont"/>
    <w:link w:val="Style14"/>
    <w:locked/>
    <w:rsid w:val="003E31BA"/>
    <w:rPr>
      <w:rFonts w:ascii="Arial" w:hAnsi="Arial" w:cs="Arial"/>
      <w:b/>
      <w:color w:val="004259"/>
      <w:sz w:val="20"/>
      <w:szCs w:val="20"/>
    </w:rPr>
  </w:style>
  <w:style w:type="paragraph" w:customStyle="1" w:styleId="Style14">
    <w:name w:val="Style14"/>
    <w:basedOn w:val="Normal"/>
    <w:link w:val="Style14Char"/>
    <w:qFormat/>
    <w:rsid w:val="003E31BA"/>
    <w:pPr>
      <w:widowControl/>
      <w:autoSpaceDE/>
      <w:autoSpaceDN/>
      <w:spacing w:before="180"/>
      <w:ind w:left="1134" w:hanging="142"/>
    </w:pPr>
    <w:rPr>
      <w:rFonts w:ascii="Arial" w:eastAsiaTheme="minorHAnsi" w:hAnsi="Arial" w:cs="Arial"/>
      <w:b/>
      <w:color w:val="004259"/>
      <w:sz w:val="20"/>
      <w:szCs w:val="20"/>
      <w:lang w:val="en-US"/>
    </w:rPr>
  </w:style>
  <w:style w:type="character" w:styleId="BookTitle">
    <w:name w:val="Book Title"/>
    <w:basedOn w:val="DefaultParagraphFont"/>
    <w:uiPriority w:val="33"/>
    <w:qFormat/>
    <w:rsid w:val="00A54C0A"/>
    <w:rPr>
      <w:b/>
      <w:bCs/>
      <w:i/>
      <w:iCs/>
      <w:spacing w:val="5"/>
    </w:rPr>
  </w:style>
  <w:style w:type="paragraph" w:customStyle="1" w:styleId="TableFigureNotesList">
    <w:name w:val="Table / Figure Notes List"/>
    <w:rsid w:val="00897DC5"/>
    <w:pPr>
      <w:widowControl/>
      <w:numPr>
        <w:numId w:val="18"/>
      </w:numPr>
      <w:autoSpaceDE/>
      <w:autoSpaceDN/>
      <w:spacing w:before="120"/>
      <w:contextualSpacing/>
    </w:pPr>
    <w:rPr>
      <w:rFonts w:ascii="Arial" w:eastAsiaTheme="minorEastAsia" w:hAnsi="Arial" w:cs="Times New Roman"/>
      <w:i/>
      <w:color w:val="6F7C87"/>
      <w:sz w:val="18"/>
      <w:szCs w:val="18"/>
      <w:lang w:eastAsia="en-AU"/>
    </w:rPr>
  </w:style>
  <w:style w:type="numbering" w:styleId="1ai">
    <w:name w:val="Outline List 1"/>
    <w:basedOn w:val="NoList"/>
    <w:semiHidden/>
    <w:rsid w:val="00885442"/>
    <w:pPr>
      <w:numPr>
        <w:numId w:val="20"/>
      </w:numPr>
    </w:pPr>
  </w:style>
  <w:style w:type="table" w:customStyle="1" w:styleId="TMTable1">
    <w:name w:val="TM Table1"/>
    <w:basedOn w:val="TableNormal"/>
    <w:uiPriority w:val="99"/>
    <w:rsid w:val="00F50716"/>
    <w:pPr>
      <w:widowControl/>
      <w:autoSpaceDE/>
      <w:autoSpaceDN/>
    </w:pPr>
    <w:rPr>
      <w:rFonts w:ascii="Arial" w:eastAsia="Times New Roman" w:hAnsi="Arial" w:cs="Times New Roman"/>
      <w:sz w:val="18"/>
      <w:szCs w:val="20"/>
      <w:lang w:val="en-AU" w:eastAsia="en-AU"/>
    </w:rPr>
    <w:tblPr>
      <w:tblBorders>
        <w:top w:val="single" w:sz="4" w:space="0" w:color="FFFFFF" w:themeColor="background1"/>
        <w:left w:val="single" w:sz="4" w:space="0" w:color="FFFFFF" w:themeColor="background1"/>
        <w:bottom w:val="single" w:sz="6" w:space="0" w:color="004259"/>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shd w:val="clear" w:color="auto" w:fill="004259"/>
      </w:tcPr>
    </w:tblStylePr>
  </w:style>
  <w:style w:type="table" w:customStyle="1" w:styleId="SimpleTable41">
    <w:name w:val="Simple Table41"/>
    <w:basedOn w:val="TableNormal"/>
    <w:next w:val="TableGrid"/>
    <w:uiPriority w:val="39"/>
    <w:rsid w:val="006364DC"/>
    <w:pPr>
      <w:widowControl/>
      <w:autoSpaceDE/>
      <w:autoSpaceDN/>
    </w:pPr>
    <w:rPr>
      <w:rFonts w:ascii="Arial" w:eastAsia="SimSun" w:hAnsi="Arial"/>
      <w:sz w:val="18"/>
      <w:lang w:eastAsia="ja-JP"/>
    </w:rPr>
    <w:tblPr>
      <w:tblBorders>
        <w:top w:val="single" w:sz="4" w:space="0" w:color="427D97"/>
        <w:left w:val="single" w:sz="4" w:space="0" w:color="FFFFFF"/>
        <w:bottom w:val="single" w:sz="4" w:space="0" w:color="427D97"/>
        <w:right w:val="single" w:sz="4" w:space="0" w:color="FFFFFF"/>
        <w:insideH w:val="single" w:sz="4" w:space="0" w:color="FFFFFF"/>
        <w:insideV w:val="single" w:sz="4" w:space="0" w:color="FFFFFF"/>
      </w:tblBorders>
    </w:tblPr>
    <w:tcPr>
      <w:shd w:val="clear" w:color="auto" w:fill="C5D3DD"/>
    </w:tcPr>
    <w:tblStylePr w:type="firstRow">
      <w:rPr>
        <w:rFonts w:ascii="Arial" w:hAnsi="Arial"/>
        <w:b/>
        <w:sz w:val="18"/>
      </w:rPr>
    </w:tblStylePr>
    <w:tblStylePr w:type="lastRow">
      <w:tblPr/>
      <w:tcPr>
        <w:shd w:val="clear" w:color="auto" w:fill="C5D3DD"/>
      </w:tcPr>
    </w:tblStylePr>
  </w:style>
  <w:style w:type="character" w:styleId="FollowedHyperlink">
    <w:name w:val="FollowedHyperlink"/>
    <w:basedOn w:val="DefaultParagraphFont"/>
    <w:uiPriority w:val="99"/>
    <w:semiHidden/>
    <w:unhideWhenUsed/>
    <w:rsid w:val="00631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2895">
      <w:bodyDiv w:val="1"/>
      <w:marLeft w:val="0"/>
      <w:marRight w:val="0"/>
      <w:marTop w:val="0"/>
      <w:marBottom w:val="0"/>
      <w:divBdr>
        <w:top w:val="none" w:sz="0" w:space="0" w:color="auto"/>
        <w:left w:val="none" w:sz="0" w:space="0" w:color="auto"/>
        <w:bottom w:val="none" w:sz="0" w:space="0" w:color="auto"/>
        <w:right w:val="none" w:sz="0" w:space="0" w:color="auto"/>
      </w:divBdr>
    </w:div>
    <w:div w:id="117071960">
      <w:bodyDiv w:val="1"/>
      <w:marLeft w:val="0"/>
      <w:marRight w:val="0"/>
      <w:marTop w:val="0"/>
      <w:marBottom w:val="0"/>
      <w:divBdr>
        <w:top w:val="none" w:sz="0" w:space="0" w:color="auto"/>
        <w:left w:val="none" w:sz="0" w:space="0" w:color="auto"/>
        <w:bottom w:val="none" w:sz="0" w:space="0" w:color="auto"/>
        <w:right w:val="none" w:sz="0" w:space="0" w:color="auto"/>
      </w:divBdr>
    </w:div>
    <w:div w:id="136577176">
      <w:bodyDiv w:val="1"/>
      <w:marLeft w:val="0"/>
      <w:marRight w:val="0"/>
      <w:marTop w:val="0"/>
      <w:marBottom w:val="0"/>
      <w:divBdr>
        <w:top w:val="none" w:sz="0" w:space="0" w:color="auto"/>
        <w:left w:val="none" w:sz="0" w:space="0" w:color="auto"/>
        <w:bottom w:val="none" w:sz="0" w:space="0" w:color="auto"/>
        <w:right w:val="none" w:sz="0" w:space="0" w:color="auto"/>
      </w:divBdr>
    </w:div>
    <w:div w:id="141892918">
      <w:bodyDiv w:val="1"/>
      <w:marLeft w:val="0"/>
      <w:marRight w:val="0"/>
      <w:marTop w:val="0"/>
      <w:marBottom w:val="0"/>
      <w:divBdr>
        <w:top w:val="none" w:sz="0" w:space="0" w:color="auto"/>
        <w:left w:val="none" w:sz="0" w:space="0" w:color="auto"/>
        <w:bottom w:val="none" w:sz="0" w:space="0" w:color="auto"/>
        <w:right w:val="none" w:sz="0" w:space="0" w:color="auto"/>
      </w:divBdr>
    </w:div>
    <w:div w:id="265382093">
      <w:bodyDiv w:val="1"/>
      <w:marLeft w:val="0"/>
      <w:marRight w:val="0"/>
      <w:marTop w:val="0"/>
      <w:marBottom w:val="0"/>
      <w:divBdr>
        <w:top w:val="none" w:sz="0" w:space="0" w:color="auto"/>
        <w:left w:val="none" w:sz="0" w:space="0" w:color="auto"/>
        <w:bottom w:val="none" w:sz="0" w:space="0" w:color="auto"/>
        <w:right w:val="none" w:sz="0" w:space="0" w:color="auto"/>
      </w:divBdr>
    </w:div>
    <w:div w:id="270013190">
      <w:bodyDiv w:val="1"/>
      <w:marLeft w:val="0"/>
      <w:marRight w:val="0"/>
      <w:marTop w:val="0"/>
      <w:marBottom w:val="0"/>
      <w:divBdr>
        <w:top w:val="none" w:sz="0" w:space="0" w:color="auto"/>
        <w:left w:val="none" w:sz="0" w:space="0" w:color="auto"/>
        <w:bottom w:val="none" w:sz="0" w:space="0" w:color="auto"/>
        <w:right w:val="none" w:sz="0" w:space="0" w:color="auto"/>
      </w:divBdr>
      <w:divsChild>
        <w:div w:id="1809779994">
          <w:marLeft w:val="0"/>
          <w:marRight w:val="0"/>
          <w:marTop w:val="0"/>
          <w:marBottom w:val="0"/>
          <w:divBdr>
            <w:top w:val="none" w:sz="0" w:space="0" w:color="auto"/>
            <w:left w:val="none" w:sz="0" w:space="0" w:color="auto"/>
            <w:bottom w:val="single" w:sz="6" w:space="0" w:color="DADCE0"/>
            <w:right w:val="none" w:sz="0" w:space="0" w:color="auto"/>
          </w:divBdr>
          <w:divsChild>
            <w:div w:id="2048290746">
              <w:marLeft w:val="240"/>
              <w:marRight w:val="240"/>
              <w:marTop w:val="0"/>
              <w:marBottom w:val="0"/>
              <w:divBdr>
                <w:top w:val="none" w:sz="0" w:space="0" w:color="auto"/>
                <w:left w:val="none" w:sz="0" w:space="0" w:color="auto"/>
                <w:bottom w:val="none" w:sz="0" w:space="0" w:color="auto"/>
                <w:right w:val="none" w:sz="0" w:space="0" w:color="auto"/>
              </w:divBdr>
              <w:divsChild>
                <w:div w:id="16715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2107">
          <w:marLeft w:val="0"/>
          <w:marRight w:val="0"/>
          <w:marTop w:val="0"/>
          <w:marBottom w:val="0"/>
          <w:divBdr>
            <w:top w:val="none" w:sz="0" w:space="0" w:color="auto"/>
            <w:left w:val="none" w:sz="0" w:space="0" w:color="auto"/>
            <w:bottom w:val="none" w:sz="0" w:space="0" w:color="auto"/>
            <w:right w:val="none" w:sz="0" w:space="0" w:color="auto"/>
          </w:divBdr>
          <w:divsChild>
            <w:div w:id="217398459">
              <w:marLeft w:val="0"/>
              <w:marRight w:val="0"/>
              <w:marTop w:val="0"/>
              <w:marBottom w:val="0"/>
              <w:divBdr>
                <w:top w:val="none" w:sz="0" w:space="0" w:color="auto"/>
                <w:left w:val="none" w:sz="0" w:space="0" w:color="auto"/>
                <w:bottom w:val="none" w:sz="0" w:space="0" w:color="auto"/>
                <w:right w:val="none" w:sz="0" w:space="0" w:color="auto"/>
              </w:divBdr>
              <w:divsChild>
                <w:div w:id="1930112897">
                  <w:marLeft w:val="0"/>
                  <w:marRight w:val="0"/>
                  <w:marTop w:val="0"/>
                  <w:marBottom w:val="0"/>
                  <w:divBdr>
                    <w:top w:val="none" w:sz="0" w:space="0" w:color="auto"/>
                    <w:left w:val="none" w:sz="0" w:space="0" w:color="auto"/>
                    <w:bottom w:val="none" w:sz="0" w:space="0" w:color="auto"/>
                    <w:right w:val="none" w:sz="0" w:space="0" w:color="auto"/>
                  </w:divBdr>
                  <w:divsChild>
                    <w:div w:id="15960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5440">
      <w:bodyDiv w:val="1"/>
      <w:marLeft w:val="0"/>
      <w:marRight w:val="0"/>
      <w:marTop w:val="0"/>
      <w:marBottom w:val="0"/>
      <w:divBdr>
        <w:top w:val="none" w:sz="0" w:space="0" w:color="auto"/>
        <w:left w:val="none" w:sz="0" w:space="0" w:color="auto"/>
        <w:bottom w:val="none" w:sz="0" w:space="0" w:color="auto"/>
        <w:right w:val="none" w:sz="0" w:space="0" w:color="auto"/>
      </w:divBdr>
    </w:div>
    <w:div w:id="567805135">
      <w:bodyDiv w:val="1"/>
      <w:marLeft w:val="0"/>
      <w:marRight w:val="0"/>
      <w:marTop w:val="0"/>
      <w:marBottom w:val="0"/>
      <w:divBdr>
        <w:top w:val="none" w:sz="0" w:space="0" w:color="auto"/>
        <w:left w:val="none" w:sz="0" w:space="0" w:color="auto"/>
        <w:bottom w:val="none" w:sz="0" w:space="0" w:color="auto"/>
        <w:right w:val="none" w:sz="0" w:space="0" w:color="auto"/>
      </w:divBdr>
    </w:div>
    <w:div w:id="768889557">
      <w:bodyDiv w:val="1"/>
      <w:marLeft w:val="0"/>
      <w:marRight w:val="0"/>
      <w:marTop w:val="0"/>
      <w:marBottom w:val="0"/>
      <w:divBdr>
        <w:top w:val="none" w:sz="0" w:space="0" w:color="auto"/>
        <w:left w:val="none" w:sz="0" w:space="0" w:color="auto"/>
        <w:bottom w:val="none" w:sz="0" w:space="0" w:color="auto"/>
        <w:right w:val="none" w:sz="0" w:space="0" w:color="auto"/>
      </w:divBdr>
    </w:div>
    <w:div w:id="798497747">
      <w:bodyDiv w:val="1"/>
      <w:marLeft w:val="0"/>
      <w:marRight w:val="0"/>
      <w:marTop w:val="0"/>
      <w:marBottom w:val="0"/>
      <w:divBdr>
        <w:top w:val="none" w:sz="0" w:space="0" w:color="auto"/>
        <w:left w:val="none" w:sz="0" w:space="0" w:color="auto"/>
        <w:bottom w:val="none" w:sz="0" w:space="0" w:color="auto"/>
        <w:right w:val="none" w:sz="0" w:space="0" w:color="auto"/>
      </w:divBdr>
    </w:div>
    <w:div w:id="838156339">
      <w:bodyDiv w:val="1"/>
      <w:marLeft w:val="0"/>
      <w:marRight w:val="0"/>
      <w:marTop w:val="0"/>
      <w:marBottom w:val="0"/>
      <w:divBdr>
        <w:top w:val="none" w:sz="0" w:space="0" w:color="auto"/>
        <w:left w:val="none" w:sz="0" w:space="0" w:color="auto"/>
        <w:bottom w:val="none" w:sz="0" w:space="0" w:color="auto"/>
        <w:right w:val="none" w:sz="0" w:space="0" w:color="auto"/>
      </w:divBdr>
    </w:div>
    <w:div w:id="847327311">
      <w:bodyDiv w:val="1"/>
      <w:marLeft w:val="0"/>
      <w:marRight w:val="0"/>
      <w:marTop w:val="0"/>
      <w:marBottom w:val="0"/>
      <w:divBdr>
        <w:top w:val="none" w:sz="0" w:space="0" w:color="auto"/>
        <w:left w:val="none" w:sz="0" w:space="0" w:color="auto"/>
        <w:bottom w:val="none" w:sz="0" w:space="0" w:color="auto"/>
        <w:right w:val="none" w:sz="0" w:space="0" w:color="auto"/>
      </w:divBdr>
    </w:div>
    <w:div w:id="883760511">
      <w:bodyDiv w:val="1"/>
      <w:marLeft w:val="0"/>
      <w:marRight w:val="0"/>
      <w:marTop w:val="0"/>
      <w:marBottom w:val="0"/>
      <w:divBdr>
        <w:top w:val="none" w:sz="0" w:space="0" w:color="auto"/>
        <w:left w:val="none" w:sz="0" w:space="0" w:color="auto"/>
        <w:bottom w:val="none" w:sz="0" w:space="0" w:color="auto"/>
        <w:right w:val="none" w:sz="0" w:space="0" w:color="auto"/>
      </w:divBdr>
    </w:div>
    <w:div w:id="898515938">
      <w:bodyDiv w:val="1"/>
      <w:marLeft w:val="0"/>
      <w:marRight w:val="0"/>
      <w:marTop w:val="0"/>
      <w:marBottom w:val="0"/>
      <w:divBdr>
        <w:top w:val="none" w:sz="0" w:space="0" w:color="auto"/>
        <w:left w:val="none" w:sz="0" w:space="0" w:color="auto"/>
        <w:bottom w:val="none" w:sz="0" w:space="0" w:color="auto"/>
        <w:right w:val="none" w:sz="0" w:space="0" w:color="auto"/>
      </w:divBdr>
    </w:div>
    <w:div w:id="1019241797">
      <w:bodyDiv w:val="1"/>
      <w:marLeft w:val="0"/>
      <w:marRight w:val="0"/>
      <w:marTop w:val="0"/>
      <w:marBottom w:val="0"/>
      <w:divBdr>
        <w:top w:val="none" w:sz="0" w:space="0" w:color="auto"/>
        <w:left w:val="none" w:sz="0" w:space="0" w:color="auto"/>
        <w:bottom w:val="none" w:sz="0" w:space="0" w:color="auto"/>
        <w:right w:val="none" w:sz="0" w:space="0" w:color="auto"/>
      </w:divBdr>
    </w:div>
    <w:div w:id="1125661071">
      <w:bodyDiv w:val="1"/>
      <w:marLeft w:val="0"/>
      <w:marRight w:val="0"/>
      <w:marTop w:val="0"/>
      <w:marBottom w:val="0"/>
      <w:divBdr>
        <w:top w:val="none" w:sz="0" w:space="0" w:color="auto"/>
        <w:left w:val="none" w:sz="0" w:space="0" w:color="auto"/>
        <w:bottom w:val="none" w:sz="0" w:space="0" w:color="auto"/>
        <w:right w:val="none" w:sz="0" w:space="0" w:color="auto"/>
      </w:divBdr>
    </w:div>
    <w:div w:id="1212383014">
      <w:bodyDiv w:val="1"/>
      <w:marLeft w:val="0"/>
      <w:marRight w:val="0"/>
      <w:marTop w:val="0"/>
      <w:marBottom w:val="0"/>
      <w:divBdr>
        <w:top w:val="none" w:sz="0" w:space="0" w:color="auto"/>
        <w:left w:val="none" w:sz="0" w:space="0" w:color="auto"/>
        <w:bottom w:val="none" w:sz="0" w:space="0" w:color="auto"/>
        <w:right w:val="none" w:sz="0" w:space="0" w:color="auto"/>
      </w:divBdr>
    </w:div>
    <w:div w:id="1374696527">
      <w:bodyDiv w:val="1"/>
      <w:marLeft w:val="0"/>
      <w:marRight w:val="0"/>
      <w:marTop w:val="0"/>
      <w:marBottom w:val="0"/>
      <w:divBdr>
        <w:top w:val="none" w:sz="0" w:space="0" w:color="auto"/>
        <w:left w:val="none" w:sz="0" w:space="0" w:color="auto"/>
        <w:bottom w:val="none" w:sz="0" w:space="0" w:color="auto"/>
        <w:right w:val="none" w:sz="0" w:space="0" w:color="auto"/>
      </w:divBdr>
    </w:div>
    <w:div w:id="1497768037">
      <w:bodyDiv w:val="1"/>
      <w:marLeft w:val="0"/>
      <w:marRight w:val="0"/>
      <w:marTop w:val="0"/>
      <w:marBottom w:val="0"/>
      <w:divBdr>
        <w:top w:val="none" w:sz="0" w:space="0" w:color="auto"/>
        <w:left w:val="none" w:sz="0" w:space="0" w:color="auto"/>
        <w:bottom w:val="none" w:sz="0" w:space="0" w:color="auto"/>
        <w:right w:val="none" w:sz="0" w:space="0" w:color="auto"/>
      </w:divBdr>
    </w:div>
    <w:div w:id="1504391651">
      <w:bodyDiv w:val="1"/>
      <w:marLeft w:val="0"/>
      <w:marRight w:val="0"/>
      <w:marTop w:val="0"/>
      <w:marBottom w:val="0"/>
      <w:divBdr>
        <w:top w:val="none" w:sz="0" w:space="0" w:color="auto"/>
        <w:left w:val="none" w:sz="0" w:space="0" w:color="auto"/>
        <w:bottom w:val="none" w:sz="0" w:space="0" w:color="auto"/>
        <w:right w:val="none" w:sz="0" w:space="0" w:color="auto"/>
      </w:divBdr>
    </w:div>
    <w:div w:id="1620720120">
      <w:bodyDiv w:val="1"/>
      <w:marLeft w:val="0"/>
      <w:marRight w:val="0"/>
      <w:marTop w:val="0"/>
      <w:marBottom w:val="0"/>
      <w:divBdr>
        <w:top w:val="none" w:sz="0" w:space="0" w:color="auto"/>
        <w:left w:val="none" w:sz="0" w:space="0" w:color="auto"/>
        <w:bottom w:val="none" w:sz="0" w:space="0" w:color="auto"/>
        <w:right w:val="none" w:sz="0" w:space="0" w:color="auto"/>
      </w:divBdr>
    </w:div>
    <w:div w:id="1694384713">
      <w:bodyDiv w:val="1"/>
      <w:marLeft w:val="0"/>
      <w:marRight w:val="0"/>
      <w:marTop w:val="0"/>
      <w:marBottom w:val="0"/>
      <w:divBdr>
        <w:top w:val="none" w:sz="0" w:space="0" w:color="auto"/>
        <w:left w:val="none" w:sz="0" w:space="0" w:color="auto"/>
        <w:bottom w:val="none" w:sz="0" w:space="0" w:color="auto"/>
        <w:right w:val="none" w:sz="0" w:space="0" w:color="auto"/>
      </w:divBdr>
    </w:div>
    <w:div w:id="1742942845">
      <w:bodyDiv w:val="1"/>
      <w:marLeft w:val="0"/>
      <w:marRight w:val="0"/>
      <w:marTop w:val="0"/>
      <w:marBottom w:val="0"/>
      <w:divBdr>
        <w:top w:val="none" w:sz="0" w:space="0" w:color="auto"/>
        <w:left w:val="none" w:sz="0" w:space="0" w:color="auto"/>
        <w:bottom w:val="none" w:sz="0" w:space="0" w:color="auto"/>
        <w:right w:val="none" w:sz="0" w:space="0" w:color="auto"/>
      </w:divBdr>
    </w:div>
    <w:div w:id="1856924155">
      <w:bodyDiv w:val="1"/>
      <w:marLeft w:val="0"/>
      <w:marRight w:val="0"/>
      <w:marTop w:val="0"/>
      <w:marBottom w:val="0"/>
      <w:divBdr>
        <w:top w:val="none" w:sz="0" w:space="0" w:color="auto"/>
        <w:left w:val="none" w:sz="0" w:space="0" w:color="auto"/>
        <w:bottom w:val="none" w:sz="0" w:space="0" w:color="auto"/>
        <w:right w:val="none" w:sz="0" w:space="0" w:color="auto"/>
      </w:divBdr>
    </w:div>
    <w:div w:id="1867793515">
      <w:bodyDiv w:val="1"/>
      <w:marLeft w:val="0"/>
      <w:marRight w:val="0"/>
      <w:marTop w:val="0"/>
      <w:marBottom w:val="0"/>
      <w:divBdr>
        <w:top w:val="none" w:sz="0" w:space="0" w:color="auto"/>
        <w:left w:val="none" w:sz="0" w:space="0" w:color="auto"/>
        <w:bottom w:val="none" w:sz="0" w:space="0" w:color="auto"/>
        <w:right w:val="none" w:sz="0" w:space="0" w:color="auto"/>
      </w:divBdr>
    </w:div>
    <w:div w:id="1968462539">
      <w:bodyDiv w:val="1"/>
      <w:marLeft w:val="0"/>
      <w:marRight w:val="0"/>
      <w:marTop w:val="0"/>
      <w:marBottom w:val="0"/>
      <w:divBdr>
        <w:top w:val="none" w:sz="0" w:space="0" w:color="auto"/>
        <w:left w:val="none" w:sz="0" w:space="0" w:color="auto"/>
        <w:bottom w:val="none" w:sz="0" w:space="0" w:color="auto"/>
        <w:right w:val="none" w:sz="0" w:space="0" w:color="auto"/>
      </w:divBdr>
    </w:div>
    <w:div w:id="1972636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c.gov.au/" TargetMode="External"/><Relationship Id="rId18" Type="http://schemas.openxmlformats.org/officeDocument/2006/relationships/hyperlink" Target="https://www.rms.nsw.gov.au/business-industry/partners-suppliers/document-types/specifications/qa/bridgework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ustroads.com.au/publications" TargetMode="External"/><Relationship Id="rId17" Type="http://schemas.openxmlformats.org/officeDocument/2006/relationships/hyperlink" Target="https://www.mainroads.wa.gov.au/BuildingRoads/TenderPrep/Specifications/Pages/800Serie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pti.sa.gov.au/__data/assets/pdf_file/0009/551457/MASTER_SPECIFICATION_-_PART_ST-SC-S7_-_SUPPLY_OF_CONCRET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tmr.qld.gov.au/business-industry/Technical-standards-publications/Specifications/2-Bridges-Marine-and-Structure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ebapps.vicroads.vic.gov.au/VRNE/csdspeci.ns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mr.qld.gov.au/business-industry/Business-with-us/Approved-products-and-supplie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99B7CCA5BB4F9EF6F99E5DA175B5" ma:contentTypeVersion="2" ma:contentTypeDescription="Create a new document." ma:contentTypeScope="" ma:versionID="7c42f3b0410dfe4a6de576468aeb2cbe">
  <xsd:schema xmlns:xsd="http://www.w3.org/2001/XMLSchema" xmlns:xs="http://www.w3.org/2001/XMLSchema" xmlns:p="http://schemas.microsoft.com/office/2006/metadata/properties" xmlns:ns2="e85daaf6-55f8-4e64-9dc5-0f62b5e2d7b1" targetNamespace="http://schemas.microsoft.com/office/2006/metadata/properties" ma:root="true" ma:fieldsID="b5589d9d1fe16f3bbc7fd597b73c68d6" ns2:_="">
    <xsd:import namespace="e85daaf6-55f8-4e64-9dc5-0f62b5e2d7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aaf6-55f8-4e64-9dc5-0f62b5e2d7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C4D6-06DB-4923-B557-D857BC840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aaf6-55f8-4e64-9dc5-0f62b5e2d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E03CE-FB5F-4798-82B9-960A7FF78CE0}">
  <ds:schemaRefs>
    <ds:schemaRef ds:uri="http://schemas.microsoft.com/sharepoint/v3/contenttype/forms"/>
  </ds:schemaRefs>
</ds:datastoreItem>
</file>

<file path=customXml/itemProps3.xml><?xml version="1.0" encoding="utf-8"?>
<ds:datastoreItem xmlns:ds="http://schemas.openxmlformats.org/officeDocument/2006/customXml" ds:itemID="{BA2EB2C6-A5C2-4C37-BA7E-CB6AB28CD7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E2FE5E-1F08-4DDD-9267-3C8D8E4B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17</Pages>
  <Words>5642</Words>
  <Characters>32163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B201 - Steelwork for Bridges</vt:lpstr>
    </vt:vector>
  </TitlesOfParts>
  <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B201 - Steelwork for Bridges</dc:title>
  <dc:subject>B201 - Steelwork for Bridges</dc:subject>
  <dc:creator>Roads and Maritime Services</dc:creator>
  <cp:keywords>B201 - Steelwork for Bridges</cp:keywords>
  <cp:lastModifiedBy>Elaena Gardner</cp:lastModifiedBy>
  <cp:revision>18</cp:revision>
  <dcterms:created xsi:type="dcterms:W3CDTF">2020-05-29T04:39:00Z</dcterms:created>
  <dcterms:modified xsi:type="dcterms:W3CDTF">2021-12-16T05:17:00Z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11 for Word</vt:lpwstr>
  </property>
  <property fmtid="{D5CDD505-2E9C-101B-9397-08002B2CF9AE}" pid="4" name="LastSaved">
    <vt:filetime>2018-05-21T00:00:00Z</vt:filetime>
  </property>
  <property fmtid="{D5CDD505-2E9C-101B-9397-08002B2CF9AE}" pid="5" name="ContentTypeId">
    <vt:lpwstr>0x010100F02F99B7CCA5BB4F9EF6F99E5DA175B5</vt:lpwstr>
  </property>
</Properties>
</file>